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202</w:t>
      </w:r>
      <w:r>
        <w:rPr>
          <w:rFonts w:hint="eastAsia" w:ascii="方正小标宋_GBK" w:hAnsi="方正小标宋_GBK" w:eastAsia="方正小标宋_GBK" w:cs="方正小标宋_GBK"/>
          <w:b/>
          <w:sz w:val="44"/>
          <w:szCs w:val="44"/>
          <w:lang w:val="en-US" w:eastAsia="zh-CN"/>
        </w:rPr>
        <w:t>4</w:t>
      </w:r>
      <w:r>
        <w:rPr>
          <w:rFonts w:hint="eastAsia" w:ascii="方正小标宋_GBK" w:hAnsi="方正小标宋_GBK" w:eastAsia="方正小标宋_GBK" w:cs="方正小标宋_GBK"/>
          <w:b/>
          <w:sz w:val="44"/>
          <w:szCs w:val="44"/>
        </w:rPr>
        <w:t>年</w:t>
      </w:r>
      <w:r>
        <w:rPr>
          <w:rFonts w:hint="eastAsia" w:ascii="方正小标宋_GBK" w:hAnsi="方正小标宋_GBK" w:eastAsia="方正小标宋_GBK" w:cs="方正小标宋_GBK"/>
          <w:b/>
          <w:sz w:val="44"/>
          <w:szCs w:val="44"/>
          <w:lang w:val="en-US" w:eastAsia="zh-CN"/>
        </w:rPr>
        <w:t>邵阳学院</w:t>
      </w:r>
      <w:r>
        <w:rPr>
          <w:rFonts w:hint="eastAsia" w:ascii="方正小标宋_GBK" w:hAnsi="方正小标宋_GBK" w:eastAsia="方正小标宋_GBK" w:cs="方正小标宋_GBK"/>
          <w:b/>
          <w:sz w:val="44"/>
          <w:szCs w:val="44"/>
        </w:rPr>
        <w:t>本科教育教学改革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sz w:val="44"/>
          <w:szCs w:val="44"/>
        </w:rPr>
        <w:t>典型项目成果简介</w:t>
      </w:r>
    </w:p>
    <w:p>
      <w:pPr>
        <w:keepNext w:val="0"/>
        <w:keepLines w:val="0"/>
        <w:pageBreakBefore w:val="0"/>
        <w:widowControl/>
        <w:suppressLineNumbers w:val="0"/>
        <w:kinsoku/>
        <w:wordWrap/>
        <w:overflowPunct/>
        <w:topLinePunct w:val="0"/>
        <w:bidi w:val="0"/>
        <w:snapToGrid/>
        <w:spacing w:line="560" w:lineRule="exact"/>
        <w:jc w:val="left"/>
        <w:textAlignment w:val="auto"/>
        <w:rPr>
          <w:rFonts w:ascii="黑体" w:hAnsi="宋体" w:eastAsia="黑体" w:cs="黑体"/>
          <w:color w:val="000000"/>
          <w:kern w:val="0"/>
          <w:sz w:val="31"/>
          <w:szCs w:val="31"/>
          <w:lang w:val="en-US" w:eastAsia="zh-CN" w:bidi="ar"/>
        </w:rPr>
      </w:pPr>
      <w:bookmarkStart w:id="0" w:name="_GoBack"/>
      <w:bookmarkEnd w:id="0"/>
    </w:p>
    <w:p>
      <w:pPr>
        <w:keepNext w:val="0"/>
        <w:keepLines w:val="0"/>
        <w:pageBreakBefore w:val="0"/>
        <w:widowControl/>
        <w:suppressLineNumbers w:val="0"/>
        <w:kinsoku/>
        <w:wordWrap/>
        <w:overflowPunct/>
        <w:topLinePunct w:val="0"/>
        <w:bidi w:val="0"/>
        <w:snapToGrid/>
        <w:spacing w:line="560" w:lineRule="exact"/>
        <w:ind w:left="1405" w:hanging="1405" w:hangingChars="5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kern w:val="0"/>
          <w:sz w:val="28"/>
          <w:szCs w:val="28"/>
          <w:lang w:val="en-US" w:eastAsia="zh-CN" w:bidi="ar"/>
        </w:rPr>
        <w:t>项目名称：</w:t>
      </w:r>
      <w:r>
        <w:rPr>
          <w:rFonts w:hint="eastAsia" w:asciiTheme="minorEastAsia" w:hAnsiTheme="minorEastAsia" w:eastAsiaTheme="minorEastAsia" w:cstheme="minorEastAsia"/>
          <w:color w:val="000000"/>
          <w:kern w:val="0"/>
          <w:sz w:val="28"/>
          <w:szCs w:val="28"/>
          <w:lang w:val="en-US" w:eastAsia="zh-CN" w:bidi="ar"/>
        </w:rPr>
        <w:t xml:space="preserve">基于OBE理念地方本科高校《电机学》课程教学改革与实践 </w:t>
      </w:r>
    </w:p>
    <w:p>
      <w:pPr>
        <w:keepNext w:val="0"/>
        <w:keepLines w:val="0"/>
        <w:pageBreakBefore w:val="0"/>
        <w:widowControl/>
        <w:suppressLineNumbers w:val="0"/>
        <w:kinsoku/>
        <w:wordWrap/>
        <w:overflowPunct/>
        <w:topLinePunct w:val="0"/>
        <w:bidi w:val="0"/>
        <w:snapToGrid/>
        <w:spacing w:line="560" w:lineRule="exact"/>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kern w:val="0"/>
          <w:sz w:val="28"/>
          <w:szCs w:val="28"/>
          <w:lang w:val="en-US" w:eastAsia="zh-CN" w:bidi="ar"/>
        </w:rPr>
        <w:t>单位名称：</w:t>
      </w:r>
      <w:r>
        <w:rPr>
          <w:rFonts w:hint="eastAsia" w:asciiTheme="minorEastAsia" w:hAnsiTheme="minorEastAsia" w:eastAsiaTheme="minorEastAsia" w:cstheme="minorEastAsia"/>
          <w:color w:val="000000"/>
          <w:kern w:val="0"/>
          <w:sz w:val="28"/>
          <w:szCs w:val="28"/>
          <w:lang w:val="en-US" w:eastAsia="zh-CN" w:bidi="ar"/>
        </w:rPr>
        <w:t xml:space="preserve">电气工程学院 </w:t>
      </w:r>
    </w:p>
    <w:p>
      <w:pPr>
        <w:keepNext w:val="0"/>
        <w:keepLines w:val="0"/>
        <w:pageBreakBefore w:val="0"/>
        <w:widowControl/>
        <w:suppressLineNumbers w:val="0"/>
        <w:kinsoku/>
        <w:wordWrap/>
        <w:overflowPunct/>
        <w:topLinePunct w:val="0"/>
        <w:bidi w:val="0"/>
        <w:snapToGrid/>
        <w:spacing w:line="560" w:lineRule="exact"/>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kern w:val="0"/>
          <w:sz w:val="28"/>
          <w:szCs w:val="28"/>
          <w:lang w:val="en-US" w:eastAsia="zh-CN" w:bidi="ar"/>
        </w:rPr>
        <w:t>项目主持人：</w:t>
      </w:r>
      <w:r>
        <w:rPr>
          <w:rFonts w:hint="eastAsia" w:asciiTheme="minorEastAsia" w:hAnsiTheme="minorEastAsia" w:eastAsiaTheme="minorEastAsia" w:cstheme="minorEastAsia"/>
          <w:color w:val="000000"/>
          <w:kern w:val="0"/>
          <w:sz w:val="28"/>
          <w:szCs w:val="28"/>
          <w:lang w:val="en-US" w:eastAsia="zh-CN" w:bidi="ar"/>
        </w:rPr>
        <w:t xml:space="preserve">彭志华 </w:t>
      </w:r>
    </w:p>
    <w:p>
      <w:pPr>
        <w:keepNext w:val="0"/>
        <w:keepLines w:val="0"/>
        <w:pageBreakBefore w:val="0"/>
        <w:widowControl/>
        <w:suppressLineNumbers w:val="0"/>
        <w:kinsoku/>
        <w:wordWrap/>
        <w:overflowPunct/>
        <w:topLinePunct w:val="0"/>
        <w:bidi w:val="0"/>
        <w:snapToGrid/>
        <w:spacing w:line="560" w:lineRule="exact"/>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团队成员：</w:t>
      </w:r>
      <w:r>
        <w:rPr>
          <w:rFonts w:hint="eastAsia" w:asciiTheme="minorEastAsia" w:hAnsiTheme="minorEastAsia" w:eastAsiaTheme="minorEastAsia" w:cstheme="minorEastAsia"/>
          <w:color w:val="000000"/>
          <w:kern w:val="0"/>
          <w:sz w:val="28"/>
          <w:szCs w:val="28"/>
          <w:lang w:val="en-US" w:eastAsia="zh-CN" w:bidi="ar"/>
        </w:rPr>
        <w:t xml:space="preserve">尹进田、石赛美、邹长春、罗婷 </w:t>
      </w:r>
    </w:p>
    <w:p>
      <w:pPr>
        <w:keepNext w:val="0"/>
        <w:keepLines w:val="0"/>
        <w:pageBreakBefore w:val="0"/>
        <w:widowControl/>
        <w:suppressLineNumbers w:val="0"/>
        <w:kinsoku/>
        <w:wordWrap/>
        <w:overflowPunct/>
        <w:topLinePunct w:val="0"/>
        <w:bidi w:val="0"/>
        <w:snapToGrid/>
        <w:spacing w:line="560" w:lineRule="exact"/>
        <w:jc w:val="left"/>
        <w:textAlignment w:val="auto"/>
        <w:rPr>
          <w:rFonts w:hint="eastAsia" w:asciiTheme="minorEastAsia" w:hAnsiTheme="minorEastAsia" w:eastAsiaTheme="minorEastAsia" w:cstheme="minorEastAsia"/>
          <w:color w:val="000000"/>
          <w:kern w:val="0"/>
          <w:sz w:val="28"/>
          <w:szCs w:val="28"/>
          <w:lang w:val="en-US" w:eastAsia="zh-CN" w:bidi="ar"/>
        </w:rPr>
      </w:pPr>
    </w:p>
    <w:p>
      <w:pPr>
        <w:keepNext w:val="0"/>
        <w:keepLines w:val="0"/>
        <w:pageBreakBefore w:val="0"/>
        <w:widowControl/>
        <w:numPr>
          <w:numId w:val="0"/>
        </w:numPr>
        <w:suppressLineNumbers w:val="0"/>
        <w:kinsoku/>
        <w:wordWrap/>
        <w:overflowPunct/>
        <w:topLinePunct w:val="0"/>
        <w:bidi w:val="0"/>
        <w:snapToGrid/>
        <w:spacing w:line="560" w:lineRule="exact"/>
        <w:ind w:firstLine="562" w:firstLineChars="200"/>
        <w:jc w:val="left"/>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cstheme="minorEastAsia"/>
          <w:b/>
          <w:bCs/>
          <w:color w:val="000000"/>
          <w:kern w:val="0"/>
          <w:sz w:val="28"/>
          <w:szCs w:val="28"/>
          <w:lang w:val="en-US" w:eastAsia="zh-CN" w:bidi="ar"/>
        </w:rPr>
        <w:t>一、</w:t>
      </w:r>
      <w:r>
        <w:rPr>
          <w:rFonts w:hint="eastAsia" w:asciiTheme="minorEastAsia" w:hAnsiTheme="minorEastAsia" w:eastAsiaTheme="minorEastAsia" w:cstheme="minorEastAsia"/>
          <w:b/>
          <w:bCs/>
          <w:color w:val="000000"/>
          <w:kern w:val="0"/>
          <w:sz w:val="28"/>
          <w:szCs w:val="28"/>
          <w:lang w:val="en-US" w:eastAsia="zh-CN" w:bidi="ar"/>
        </w:rPr>
        <w:t>项目研究背景</w:t>
      </w:r>
    </w:p>
    <w:p>
      <w:pPr>
        <w:keepNext w:val="0"/>
        <w:keepLines w:val="0"/>
        <w:pageBreakBefore w:val="0"/>
        <w:kinsoku/>
        <w:wordWrap/>
        <w:overflowPunct/>
        <w:topLinePunct w:val="0"/>
        <w:bidi w:val="0"/>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近年来，国家大力倡导工匠精神，实现产业从“中国制造”向“中国创造”转型。国家战略的改变对高校人才培养提出了新要求。高等教育作为孕育工匠精神的沃土，承载着培养高素质技能人才，推动产业升级的历史使命。对于普通地方本科院校，如何培养专业、专注的应用型工科人才面临巨大挑战。OBE教育理念是一种以成果为目标导向，以学生为本，采用逆向思维的方式进行的课程体系的建设理念，是一种先进的教育理念。OBE理念下的地方高校工科教育以学生和地方经济、社会发展的实际需求为导向，更加明确了教学目标，进一步加强了实践教学，使得教学成效和成果考核更加机动灵活。特别是OBE理念契合应用型工科、工程专业人才的培育目标，在地方高校工科教育领域越来越被重视和关注。</w:t>
      </w:r>
    </w:p>
    <w:p>
      <w:pPr>
        <w:keepNext w:val="0"/>
        <w:keepLines w:val="0"/>
        <w:pageBreakBefore w:val="0"/>
        <w:kinsoku/>
        <w:wordWrap/>
        <w:overflowPunct/>
        <w:topLinePunct w:val="0"/>
        <w:bidi w:val="0"/>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w:t>
      </w:r>
      <w:r>
        <w:rPr>
          <w:rFonts w:hint="eastAsia" w:asciiTheme="minorEastAsia" w:hAnsiTheme="minorEastAsia" w:eastAsiaTheme="minorEastAsia" w:cstheme="minorEastAsia"/>
          <w:sz w:val="28"/>
          <w:szCs w:val="28"/>
          <w:lang w:val="en-US" w:eastAsia="zh-CN"/>
        </w:rPr>
        <w:t>OBE理念</w:t>
      </w:r>
      <w:r>
        <w:rPr>
          <w:rFonts w:hint="eastAsia" w:asciiTheme="minorEastAsia" w:hAnsiTheme="minorEastAsia" w:eastAsiaTheme="minorEastAsia" w:cstheme="minorEastAsia"/>
          <w:sz w:val="28"/>
          <w:szCs w:val="28"/>
        </w:rPr>
        <w:t>的引导下，</w:t>
      </w:r>
      <w:r>
        <w:rPr>
          <w:rFonts w:hint="eastAsia" w:asciiTheme="minorEastAsia" w:hAnsiTheme="minorEastAsia" w:eastAsiaTheme="minorEastAsia" w:cstheme="minorEastAsia"/>
          <w:sz w:val="28"/>
          <w:szCs w:val="28"/>
          <w:lang w:eastAsia="zh-CN"/>
        </w:rPr>
        <w:t>地方性本科</w:t>
      </w:r>
      <w:r>
        <w:rPr>
          <w:rFonts w:hint="eastAsia" w:asciiTheme="minorEastAsia" w:hAnsiTheme="minorEastAsia" w:eastAsiaTheme="minorEastAsia" w:cstheme="minorEastAsia"/>
          <w:sz w:val="28"/>
          <w:szCs w:val="28"/>
        </w:rPr>
        <w:t>院校电气工程及其自动化专业</w:t>
      </w:r>
      <w:r>
        <w:rPr>
          <w:rFonts w:hint="eastAsia" w:asciiTheme="minorEastAsia" w:hAnsiTheme="minorEastAsia" w:eastAsiaTheme="minorEastAsia" w:cstheme="minorEastAsia"/>
          <w:sz w:val="28"/>
          <w:szCs w:val="28"/>
          <w:lang w:eastAsia="zh-CN"/>
        </w:rPr>
        <w:t>也</w:t>
      </w:r>
      <w:r>
        <w:rPr>
          <w:rFonts w:hint="eastAsia" w:asciiTheme="minorEastAsia" w:hAnsiTheme="minorEastAsia" w:eastAsiaTheme="minorEastAsia" w:cstheme="minorEastAsia"/>
          <w:sz w:val="28"/>
          <w:szCs w:val="28"/>
        </w:rPr>
        <w:t>须转变理念，建立以学生为中心， 基于</w:t>
      </w:r>
      <w:r>
        <w:rPr>
          <w:rFonts w:hint="eastAsia" w:asciiTheme="minorEastAsia" w:hAnsiTheme="minorEastAsia" w:eastAsiaTheme="minorEastAsia" w:cstheme="minorEastAsia"/>
          <w:sz w:val="28"/>
          <w:szCs w:val="28"/>
          <w:lang w:eastAsia="zh-CN"/>
        </w:rPr>
        <w:t>地方经济</w:t>
      </w:r>
      <w:r>
        <w:rPr>
          <w:rFonts w:hint="eastAsia" w:asciiTheme="minorEastAsia" w:hAnsiTheme="minorEastAsia" w:eastAsiaTheme="minorEastAsia" w:cstheme="minorEastAsia"/>
          <w:sz w:val="28"/>
          <w:szCs w:val="28"/>
        </w:rPr>
        <w:t>产出</w:t>
      </w:r>
      <w:r>
        <w:rPr>
          <w:rFonts w:hint="eastAsia" w:asciiTheme="minorEastAsia" w:hAnsiTheme="minorEastAsia" w:eastAsiaTheme="minorEastAsia" w:cstheme="minorEastAsia"/>
          <w:sz w:val="28"/>
          <w:szCs w:val="28"/>
          <w:lang w:eastAsia="zh-CN"/>
        </w:rPr>
        <w:t>导向</w:t>
      </w:r>
      <w:r>
        <w:rPr>
          <w:rFonts w:hint="eastAsia" w:asciiTheme="minorEastAsia" w:hAnsiTheme="minorEastAsia" w:eastAsiaTheme="minorEastAsia" w:cstheme="minorEastAsia"/>
          <w:sz w:val="28"/>
          <w:szCs w:val="28"/>
        </w:rPr>
        <w:t>模式， 依据学生毕业达成要求逆向设计并评价其培养目标、教学设计、教学管理等一系列教育活动。</w:t>
      </w:r>
      <w:r>
        <w:rPr>
          <w:rFonts w:hint="eastAsia" w:asciiTheme="minorEastAsia" w:hAnsiTheme="minorEastAsia" w:eastAsiaTheme="minorEastAsia" w:cstheme="minorEastAsia"/>
          <w:sz w:val="28"/>
          <w:szCs w:val="28"/>
          <w:lang w:val="en-US" w:eastAsia="zh-CN"/>
        </w:rPr>
        <w:t>基于OBE理念改革、创新电气工程及其自动化专业人才培育模式，依据地方经济特色，抢抓地方经济发展机遇，培养适合地方经济发展的复合型电气工程技术人才迫在眉睫。课程是专业人才培养的最基础部分，也是人才培养目标落实的核心环节，对专业课程改革是当务之急。《</w:t>
      </w:r>
      <w:r>
        <w:rPr>
          <w:rFonts w:hint="eastAsia" w:asciiTheme="minorEastAsia" w:hAnsiTheme="minorEastAsia" w:eastAsiaTheme="minorEastAsia" w:cstheme="minorEastAsia"/>
          <w:sz w:val="28"/>
          <w:szCs w:val="28"/>
        </w:rPr>
        <w:t>电机学</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作为电气工程</w:t>
      </w:r>
      <w:r>
        <w:rPr>
          <w:rFonts w:hint="eastAsia" w:asciiTheme="minorEastAsia" w:hAnsiTheme="minorEastAsia" w:eastAsiaTheme="minorEastAsia" w:cstheme="minorEastAsia"/>
          <w:sz w:val="28"/>
          <w:szCs w:val="28"/>
          <w:lang w:val="en-US" w:eastAsia="zh-CN"/>
        </w:rPr>
        <w:t>及其自动化</w:t>
      </w:r>
      <w:r>
        <w:rPr>
          <w:rFonts w:hint="eastAsia" w:asciiTheme="minorEastAsia" w:hAnsiTheme="minorEastAsia" w:eastAsiaTheme="minorEastAsia" w:cstheme="minorEastAsia"/>
          <w:sz w:val="28"/>
          <w:szCs w:val="28"/>
        </w:rPr>
        <w:t>专业核心</w:t>
      </w:r>
      <w:r>
        <w:rPr>
          <w:rFonts w:hint="eastAsia" w:asciiTheme="minorEastAsia" w:hAnsiTheme="minorEastAsia" w:eastAsiaTheme="minorEastAsia" w:cstheme="minorEastAsia"/>
          <w:sz w:val="28"/>
          <w:szCs w:val="28"/>
          <w:lang w:eastAsia="zh-CN"/>
        </w:rPr>
        <w:t>课程</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基于</w:t>
      </w:r>
      <w:r>
        <w:rPr>
          <w:rFonts w:hint="eastAsia" w:asciiTheme="minorEastAsia" w:hAnsiTheme="minorEastAsia" w:eastAsiaTheme="minorEastAsia" w:cstheme="minorEastAsia"/>
          <w:sz w:val="28"/>
          <w:szCs w:val="28"/>
          <w:lang w:val="en-US" w:eastAsia="zh-CN"/>
        </w:rPr>
        <w:t>OBE理念</w:t>
      </w:r>
      <w:r>
        <w:rPr>
          <w:rFonts w:hint="eastAsia" w:asciiTheme="minorEastAsia" w:hAnsiTheme="minorEastAsia" w:eastAsiaTheme="minorEastAsia" w:cstheme="minorEastAsia"/>
          <w:sz w:val="28"/>
          <w:szCs w:val="28"/>
          <w:lang w:eastAsia="zh-CN"/>
        </w:rPr>
        <w:t>结合</w:t>
      </w:r>
      <w:r>
        <w:rPr>
          <w:rFonts w:hint="eastAsia" w:asciiTheme="minorEastAsia" w:hAnsiTheme="minorEastAsia" w:eastAsiaTheme="minorEastAsia" w:cstheme="minorEastAsia"/>
          <w:sz w:val="28"/>
          <w:szCs w:val="28"/>
        </w:rPr>
        <w:t>地方</w:t>
      </w:r>
      <w:r>
        <w:rPr>
          <w:rFonts w:hint="eastAsia" w:asciiTheme="minorEastAsia" w:hAnsiTheme="minorEastAsia" w:eastAsiaTheme="minorEastAsia" w:cstheme="minorEastAsia"/>
          <w:sz w:val="28"/>
          <w:szCs w:val="28"/>
          <w:lang w:eastAsia="zh-CN"/>
        </w:rPr>
        <w:t>经济</w:t>
      </w:r>
      <w:r>
        <w:rPr>
          <w:rFonts w:hint="eastAsia" w:asciiTheme="minorEastAsia" w:hAnsiTheme="minorEastAsia" w:eastAsiaTheme="minorEastAsia" w:cstheme="minorEastAsia"/>
          <w:sz w:val="28"/>
          <w:szCs w:val="28"/>
        </w:rPr>
        <w:t>和</w:t>
      </w:r>
      <w:r>
        <w:rPr>
          <w:rFonts w:hint="eastAsia" w:asciiTheme="minorEastAsia" w:hAnsiTheme="minorEastAsia" w:eastAsiaTheme="minorEastAsia" w:cstheme="minorEastAsia"/>
          <w:sz w:val="28"/>
          <w:szCs w:val="28"/>
          <w:lang w:eastAsia="zh-CN"/>
        </w:rPr>
        <w:t>高校</w:t>
      </w:r>
      <w:r>
        <w:rPr>
          <w:rFonts w:hint="eastAsia" w:asciiTheme="minorEastAsia" w:hAnsiTheme="minorEastAsia" w:eastAsiaTheme="minorEastAsia" w:cstheme="minorEastAsia"/>
          <w:sz w:val="28"/>
          <w:szCs w:val="28"/>
        </w:rPr>
        <w:t>办学定位</w:t>
      </w:r>
      <w:r>
        <w:rPr>
          <w:rFonts w:hint="eastAsia" w:asciiTheme="minorEastAsia" w:hAnsiTheme="minorEastAsia" w:eastAsiaTheme="minorEastAsia" w:cstheme="minorEastAsia"/>
          <w:sz w:val="28"/>
          <w:szCs w:val="28"/>
          <w:lang w:eastAsia="zh-CN"/>
        </w:rPr>
        <w:t>对</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电机学</w:t>
      </w:r>
      <w:r>
        <w:rPr>
          <w:rFonts w:hint="eastAsia" w:asciiTheme="minorEastAsia" w:hAnsiTheme="minorEastAsia" w:eastAsiaTheme="minorEastAsia" w:cstheme="minorEastAsia"/>
          <w:sz w:val="28"/>
          <w:szCs w:val="28"/>
          <w:lang w:eastAsia="zh-CN"/>
        </w:rPr>
        <w:t>》课程教学改革与实践具有重要意义，有利于</w:t>
      </w:r>
      <w:r>
        <w:rPr>
          <w:rFonts w:hint="eastAsia" w:asciiTheme="minorEastAsia" w:hAnsiTheme="minorEastAsia" w:eastAsiaTheme="minorEastAsia" w:cstheme="minorEastAsia"/>
          <w:sz w:val="28"/>
          <w:szCs w:val="28"/>
        </w:rPr>
        <w:t>提升学生专业能力</w:t>
      </w:r>
      <w:r>
        <w:rPr>
          <w:rFonts w:hint="eastAsia" w:asciiTheme="minorEastAsia" w:hAnsiTheme="minorEastAsia" w:eastAsiaTheme="minorEastAsia" w:cstheme="minorEastAsia"/>
          <w:sz w:val="28"/>
          <w:szCs w:val="28"/>
          <w:lang w:eastAsia="zh-CN"/>
        </w:rPr>
        <w:t>、创新能力及工程思维，同时确保了课程目标的达成和毕业要求落实，也是实现地方高校办学目标，达成</w:t>
      </w:r>
      <w:r>
        <w:rPr>
          <w:rFonts w:hint="eastAsia" w:asciiTheme="minorEastAsia" w:hAnsiTheme="minorEastAsia" w:eastAsiaTheme="minorEastAsia" w:cstheme="minorEastAsia"/>
          <w:sz w:val="28"/>
          <w:szCs w:val="28"/>
          <w:lang w:val="en-US" w:eastAsia="zh-CN"/>
        </w:rPr>
        <w:t>应用技术型高级专业人才</w:t>
      </w:r>
      <w:r>
        <w:rPr>
          <w:rFonts w:hint="eastAsia" w:asciiTheme="minorEastAsia" w:hAnsiTheme="minorEastAsia" w:eastAsiaTheme="minorEastAsia" w:cstheme="minorEastAsia"/>
          <w:sz w:val="28"/>
          <w:szCs w:val="28"/>
        </w:rPr>
        <w:t>培养的</w:t>
      </w:r>
      <w:r>
        <w:rPr>
          <w:rFonts w:hint="eastAsia" w:asciiTheme="minorEastAsia" w:hAnsiTheme="minorEastAsia" w:eastAsiaTheme="minorEastAsia" w:cstheme="minorEastAsia"/>
          <w:sz w:val="28"/>
          <w:szCs w:val="28"/>
          <w:lang w:eastAsia="zh-CN"/>
        </w:rPr>
        <w:t>必由之路</w:t>
      </w:r>
      <w:r>
        <w:rPr>
          <w:rFonts w:hint="eastAsia" w:asciiTheme="minorEastAsia" w:hAnsiTheme="minorEastAsia" w:eastAsiaTheme="minorEastAsia" w:cstheme="minorEastAsia"/>
          <w:sz w:val="28"/>
          <w:szCs w:val="28"/>
        </w:rPr>
        <w:t>。</w:t>
      </w:r>
    </w:p>
    <w:p>
      <w:pPr>
        <w:keepNext w:val="0"/>
        <w:keepLines w:val="0"/>
        <w:pageBreakBefore w:val="0"/>
        <w:widowControl/>
        <w:numPr>
          <w:numId w:val="0"/>
        </w:numPr>
        <w:suppressLineNumbers w:val="0"/>
        <w:kinsoku/>
        <w:wordWrap/>
        <w:overflowPunct/>
        <w:topLinePunct w:val="0"/>
        <w:bidi w:val="0"/>
        <w:snapToGrid/>
        <w:spacing w:line="560" w:lineRule="exact"/>
        <w:jc w:val="left"/>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cstheme="minorEastAsia"/>
          <w:b/>
          <w:bCs/>
          <w:color w:val="000000"/>
          <w:kern w:val="0"/>
          <w:sz w:val="28"/>
          <w:szCs w:val="28"/>
          <w:lang w:val="en-US" w:eastAsia="zh-CN" w:bidi="ar"/>
        </w:rPr>
        <w:t>二、</w:t>
      </w:r>
      <w:r>
        <w:rPr>
          <w:rFonts w:hint="eastAsia" w:asciiTheme="minorEastAsia" w:hAnsiTheme="minorEastAsia" w:eastAsiaTheme="minorEastAsia" w:cstheme="minorEastAsia"/>
          <w:b/>
          <w:bCs/>
          <w:color w:val="000000"/>
          <w:kern w:val="0"/>
          <w:sz w:val="28"/>
          <w:szCs w:val="28"/>
          <w:lang w:val="en-US" w:eastAsia="zh-CN" w:bidi="ar"/>
        </w:rPr>
        <w:t>研究目标、任务和主要思路</w:t>
      </w:r>
    </w:p>
    <w:p>
      <w:pPr>
        <w:keepNext w:val="0"/>
        <w:keepLines w:val="0"/>
        <w:pageBreakBefore w:val="0"/>
        <w:widowControl/>
        <w:numPr>
          <w:numId w:val="0"/>
        </w:numPr>
        <w:suppressLineNumbers w:val="0"/>
        <w:kinsoku/>
        <w:wordWrap/>
        <w:overflowPunct/>
        <w:topLinePunct w:val="0"/>
        <w:bidi w:val="0"/>
        <w:snapToGrid/>
        <w:spacing w:line="56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1.</w:t>
      </w:r>
      <w:r>
        <w:rPr>
          <w:rFonts w:hint="eastAsia" w:asciiTheme="minorEastAsia" w:hAnsiTheme="minorEastAsia" w:eastAsiaTheme="minorEastAsia" w:cstheme="minorEastAsia"/>
          <w:color w:val="000000"/>
          <w:kern w:val="0"/>
          <w:sz w:val="28"/>
          <w:szCs w:val="28"/>
          <w:lang w:val="en-US" w:eastAsia="zh-CN" w:bidi="ar"/>
        </w:rPr>
        <w:t>研究目标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为贯彻落实我校“十四五”发展规划中关于全面推进学校转型发展，力争将我校建成为国内知名、省内一流的高水平地方性应用技术型大学的总体目标，结合我校特色，基于</w:t>
      </w:r>
      <w:r>
        <w:rPr>
          <w:rFonts w:hint="eastAsia" w:asciiTheme="minorEastAsia" w:hAnsiTheme="minorEastAsia" w:eastAsiaTheme="minorEastAsia" w:cstheme="minorEastAsia"/>
          <w:sz w:val="28"/>
          <w:szCs w:val="28"/>
          <w:lang w:val="en-US" w:eastAsia="zh-CN"/>
        </w:rPr>
        <w:t>OBE理念</w:t>
      </w:r>
      <w:r>
        <w:rPr>
          <w:rFonts w:hint="eastAsia" w:asciiTheme="minorEastAsia" w:hAnsiTheme="minorEastAsia" w:eastAsiaTheme="minorEastAsia" w:cstheme="minorEastAsia"/>
          <w:sz w:val="28"/>
          <w:szCs w:val="28"/>
          <w:lang w:eastAsia="zh-CN"/>
        </w:rPr>
        <w:t>进一步优化课程教学内容，提高应用技术型人才培养质量。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本项目以电气工程及其自动化专业的本科生为主要研究对象，对《电机学》课程基于OBE理念对《电机学》课程进行教学改革与实践，具体根据工程教育认证标准结合我校实情对课程教学大纲、教学方法、教学手段等方面进行深入改革，建立《电机学》课程形成性评价体系，建立课程预警和帮扶机制，创新教学方式、提高教学质量。</w:t>
      </w:r>
    </w:p>
    <w:p>
      <w:pPr>
        <w:keepNext w:val="0"/>
        <w:keepLines w:val="0"/>
        <w:pageBreakBefore w:val="0"/>
        <w:widowControl/>
        <w:numPr>
          <w:numId w:val="0"/>
        </w:numPr>
        <w:suppressLineNumbers w:val="0"/>
        <w:kinsoku/>
        <w:wordWrap/>
        <w:overflowPunct/>
        <w:topLinePunct w:val="0"/>
        <w:bidi w:val="0"/>
        <w:snapToGrid/>
        <w:spacing w:line="56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2.研究</w:t>
      </w:r>
      <w:r>
        <w:rPr>
          <w:rFonts w:hint="eastAsia" w:asciiTheme="minorEastAsia" w:hAnsiTheme="minorEastAsia" w:eastAsiaTheme="minorEastAsia" w:cstheme="minorEastAsia"/>
          <w:color w:val="000000"/>
          <w:kern w:val="0"/>
          <w:sz w:val="28"/>
          <w:szCs w:val="28"/>
          <w:lang w:val="en-US" w:eastAsia="zh-CN" w:bidi="ar"/>
        </w:rPr>
        <w:t>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为</w:t>
      </w:r>
      <w:r>
        <w:rPr>
          <w:rFonts w:hint="eastAsia" w:asciiTheme="minorEastAsia" w:hAnsiTheme="minorEastAsia" w:eastAsiaTheme="minorEastAsia" w:cstheme="minorEastAsia"/>
          <w:sz w:val="28"/>
          <w:szCs w:val="28"/>
        </w:rPr>
        <w:t>建立以学生为中心，基于产出</w:t>
      </w:r>
      <w:r>
        <w:rPr>
          <w:rFonts w:hint="eastAsia" w:asciiTheme="minorEastAsia" w:hAnsiTheme="minorEastAsia" w:eastAsiaTheme="minorEastAsia" w:cstheme="minorEastAsia"/>
          <w:sz w:val="28"/>
          <w:szCs w:val="28"/>
          <w:lang w:eastAsia="zh-CN"/>
        </w:rPr>
        <w:t>导向《电机学》课程教学</w:t>
      </w:r>
      <w:r>
        <w:rPr>
          <w:rFonts w:hint="eastAsia" w:asciiTheme="minorEastAsia" w:hAnsiTheme="minorEastAsia" w:eastAsiaTheme="minorEastAsia" w:cstheme="minorEastAsia"/>
          <w:sz w:val="28"/>
          <w:szCs w:val="28"/>
        </w:rPr>
        <w:t>模式，</w:t>
      </w:r>
      <w:r>
        <w:rPr>
          <w:rFonts w:hint="eastAsia" w:asciiTheme="minorEastAsia" w:hAnsiTheme="minorEastAsia" w:eastAsiaTheme="minorEastAsia" w:cstheme="minorEastAsia"/>
          <w:sz w:val="28"/>
          <w:szCs w:val="28"/>
          <w:lang w:val="en-US" w:eastAsia="zh-CN"/>
        </w:rPr>
        <w:t xml:space="preserve">主要任务如下：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转变教育思想观念，</w:t>
      </w:r>
      <w:r>
        <w:rPr>
          <w:rFonts w:hint="eastAsia" w:asciiTheme="minorEastAsia" w:hAnsiTheme="minorEastAsia" w:eastAsiaTheme="minorEastAsia" w:cstheme="minorEastAsia"/>
          <w:sz w:val="28"/>
          <w:szCs w:val="28"/>
          <w:lang w:eastAsia="zh-CN"/>
        </w:rPr>
        <w:t>结合学校办学特色将</w:t>
      </w:r>
      <w:r>
        <w:rPr>
          <w:rFonts w:hint="eastAsia" w:asciiTheme="minorEastAsia" w:hAnsiTheme="minorEastAsia" w:eastAsiaTheme="minorEastAsia" w:cstheme="minorEastAsia"/>
          <w:sz w:val="28"/>
          <w:szCs w:val="28"/>
        </w:rPr>
        <w:t>OBE教育理念</w:t>
      </w:r>
      <w:r>
        <w:rPr>
          <w:rFonts w:hint="eastAsia" w:asciiTheme="minorEastAsia" w:hAnsiTheme="minorEastAsia" w:eastAsiaTheme="minorEastAsia" w:cstheme="minorEastAsia"/>
          <w:sz w:val="28"/>
          <w:szCs w:val="28"/>
          <w:lang w:eastAsia="zh-CN"/>
        </w:rPr>
        <w:t>贯彻于电机学教学当中，改变</w:t>
      </w:r>
      <w:r>
        <w:rPr>
          <w:rFonts w:hint="eastAsia" w:asciiTheme="minorEastAsia" w:hAnsiTheme="minorEastAsia" w:eastAsiaTheme="minorEastAsia" w:cstheme="minorEastAsia"/>
          <w:sz w:val="28"/>
          <w:szCs w:val="28"/>
        </w:rPr>
        <w:t>教师的</w:t>
      </w:r>
      <w:r>
        <w:rPr>
          <w:rFonts w:hint="eastAsia" w:asciiTheme="minorEastAsia" w:hAnsiTheme="minorEastAsia" w:eastAsiaTheme="minorEastAsia" w:cstheme="minorEastAsia"/>
          <w:sz w:val="28"/>
          <w:szCs w:val="28"/>
          <w:lang w:eastAsia="zh-CN"/>
        </w:rPr>
        <w:t>教学理念，提升教师自身</w:t>
      </w:r>
      <w:r>
        <w:rPr>
          <w:rFonts w:hint="eastAsia" w:asciiTheme="minorEastAsia" w:hAnsiTheme="minorEastAsia" w:eastAsiaTheme="minorEastAsia" w:cstheme="minorEastAsia"/>
          <w:sz w:val="28"/>
          <w:szCs w:val="28"/>
        </w:rPr>
        <w:t>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基于OBE理念和我校办学特色，将电机学课程实验独立成课，进一步加强实验教学，提高学生动手能力和工程思维。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重新修订《电机学》和《电机学实验》教学大纲，将OBE理念和专业特色相结合，突出学生中心地位，进一步重视过程考核，</w:t>
      </w:r>
      <w:r>
        <w:rPr>
          <w:rFonts w:hint="eastAsia" w:asciiTheme="minorEastAsia" w:hAnsiTheme="minorEastAsia" w:eastAsiaTheme="minorEastAsia" w:cstheme="minorEastAsia"/>
          <w:sz w:val="28"/>
          <w:szCs w:val="28"/>
        </w:rPr>
        <w:t>搭建“教学做合一”</w:t>
      </w:r>
      <w:r>
        <w:rPr>
          <w:rFonts w:hint="eastAsia" w:asciiTheme="minorEastAsia" w:hAnsiTheme="minorEastAsia" w:eastAsiaTheme="minorEastAsia" w:cstheme="minorEastAsia"/>
          <w:sz w:val="28"/>
          <w:szCs w:val="28"/>
          <w:lang w:eastAsia="zh-CN"/>
        </w:rPr>
        <w:t>实验</w:t>
      </w:r>
      <w:r>
        <w:rPr>
          <w:rFonts w:hint="eastAsia" w:asciiTheme="minorEastAsia" w:hAnsiTheme="minorEastAsia" w:eastAsiaTheme="minorEastAsia" w:cstheme="minorEastAsia"/>
          <w:sz w:val="28"/>
          <w:szCs w:val="28"/>
        </w:rPr>
        <w:t>平台，优化实践教学</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改革理论教学内容和课程考核评价机制，重视学生的过程学习，增加学生非技术能力的培养，将形成性评价贯穿整个教学当中，并进行持续改进，</w:t>
      </w:r>
      <w:r>
        <w:rPr>
          <w:rFonts w:hint="eastAsia" w:asciiTheme="minorEastAsia" w:hAnsiTheme="minorEastAsia" w:eastAsiaTheme="minorEastAsia" w:cstheme="minorEastAsia"/>
          <w:sz w:val="28"/>
          <w:szCs w:val="28"/>
        </w:rPr>
        <w:t>提升学生专业能力</w:t>
      </w:r>
      <w:r>
        <w:rPr>
          <w:rFonts w:hint="eastAsia" w:asciiTheme="minorEastAsia" w:hAnsiTheme="minorEastAsia" w:eastAsiaTheme="minorEastAsia" w:cstheme="minorEastAsia"/>
          <w:sz w:val="28"/>
          <w:szCs w:val="28"/>
          <w:lang w:eastAsia="zh-CN"/>
        </w:rPr>
        <w:t>、创新能力和工程思维</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建立《电机学》课程学生形成性评价体系，对学生电机学的整个学习过程进行跟踪评价，并随时调整教学方法和教学手段，提高学生学习效果。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建立</w:t>
      </w:r>
      <w:r>
        <w:rPr>
          <w:rFonts w:hint="eastAsia" w:asciiTheme="minorEastAsia" w:hAnsiTheme="minorEastAsia" w:eastAsiaTheme="minorEastAsia" w:cstheme="minorEastAsia"/>
          <w:sz w:val="28"/>
          <w:szCs w:val="28"/>
          <w:lang w:eastAsia="zh-CN"/>
        </w:rPr>
        <w:t>学生学习过程与</w:t>
      </w:r>
      <w:r>
        <w:rPr>
          <w:rFonts w:hint="eastAsia" w:asciiTheme="minorEastAsia" w:hAnsiTheme="minorEastAsia" w:eastAsiaTheme="minorEastAsia" w:cstheme="minorEastAsia"/>
          <w:sz w:val="28"/>
          <w:szCs w:val="28"/>
          <w:lang w:val="en-US" w:eastAsia="zh-CN"/>
        </w:rPr>
        <w:t>课程</w:t>
      </w:r>
      <w:r>
        <w:rPr>
          <w:rFonts w:hint="eastAsia" w:asciiTheme="minorEastAsia" w:hAnsiTheme="minorEastAsia" w:eastAsiaTheme="minorEastAsia" w:cstheme="minorEastAsia"/>
          <w:sz w:val="28"/>
          <w:szCs w:val="28"/>
          <w:lang w:eastAsia="zh-CN"/>
        </w:rPr>
        <w:t>评估办法，随时对学生进行监控与评价，并对学习较差学生进行预警与帮扶。</w:t>
      </w:r>
      <w:r>
        <w:rPr>
          <w:rFonts w:hint="eastAsia" w:asciiTheme="minorEastAsia" w:hAnsiTheme="minorEastAsia" w:eastAsiaTheme="minorEastAsia" w:cstheme="minorEastAsia"/>
          <w:sz w:val="28"/>
          <w:szCs w:val="28"/>
          <w:lang w:val="en-US" w:eastAsia="zh-CN"/>
        </w:rPr>
        <w:t>建立课程</w:t>
      </w:r>
      <w:r>
        <w:rPr>
          <w:rFonts w:hint="eastAsia" w:asciiTheme="minorEastAsia" w:hAnsiTheme="minorEastAsia" w:eastAsiaTheme="minorEastAsia" w:cstheme="minorEastAsia"/>
          <w:sz w:val="28"/>
          <w:szCs w:val="28"/>
          <w:lang w:eastAsia="zh-CN"/>
        </w:rPr>
        <w:t>预警与帮扶措施。对学习退步较大的学生进行预警，对学习困难的学生进行帮扶，尽量让每个学生达成课程目标。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建立持续改进机制，专业基于教学过程质量监控、毕业生跟踪反馈和社会评价、培养目标和毕业要求达成的校内外评价等机制，建立了基于四个闭环（课内循环、课程循环、专业循环和外部循环）的评价结果，对课程进行持续改进，不断优化教学方法，提高课程教学质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建立课程目标达成度评价机制，专业负责人对课程的目标达成度情况进行审核，对后续教学提出要求，并进行持续改进，提高了学生课程目标达成度。</w:t>
      </w:r>
    </w:p>
    <w:p>
      <w:pPr>
        <w:keepNext w:val="0"/>
        <w:keepLines w:val="0"/>
        <w:pageBreakBefore w:val="0"/>
        <w:widowControl/>
        <w:numPr>
          <w:numId w:val="0"/>
        </w:numPr>
        <w:suppressLineNumbers w:val="0"/>
        <w:kinsoku/>
        <w:wordWrap/>
        <w:overflowPunct/>
        <w:topLinePunct w:val="0"/>
        <w:bidi w:val="0"/>
        <w:snapToGrid/>
        <w:spacing w:line="56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主要思路</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）积极参加教学改革相关的国际国内会议和相关培训，进行电机企业和行业调研，并召开座谈会，邀请企业和同行专家进行座谈交流，并进行总结，得出宝贵经验和意见，</w:t>
      </w:r>
      <w:r>
        <w:rPr>
          <w:rFonts w:hint="eastAsia" w:asciiTheme="minorEastAsia" w:hAnsiTheme="minorEastAsia" w:eastAsiaTheme="minorEastAsia" w:cstheme="minorEastAsia"/>
          <w:sz w:val="28"/>
          <w:szCs w:val="28"/>
        </w:rPr>
        <w:t>转变</w:t>
      </w:r>
      <w:r>
        <w:rPr>
          <w:rFonts w:hint="eastAsia" w:asciiTheme="minorEastAsia" w:hAnsiTheme="minorEastAsia" w:eastAsiaTheme="minorEastAsia" w:cstheme="minorEastAsia"/>
          <w:sz w:val="28"/>
          <w:szCs w:val="28"/>
          <w:lang w:eastAsia="zh-CN"/>
        </w:rPr>
        <w:t>传统</w:t>
      </w:r>
      <w:r>
        <w:rPr>
          <w:rFonts w:hint="eastAsia" w:asciiTheme="minorEastAsia" w:hAnsiTheme="minorEastAsia" w:eastAsiaTheme="minorEastAsia" w:cstheme="minorEastAsia"/>
          <w:sz w:val="28"/>
          <w:szCs w:val="28"/>
        </w:rPr>
        <w:t>教育思想观念，</w:t>
      </w:r>
      <w:r>
        <w:rPr>
          <w:rFonts w:hint="eastAsia" w:asciiTheme="minorEastAsia" w:hAnsiTheme="minorEastAsia" w:eastAsiaTheme="minorEastAsia" w:cstheme="minorEastAsia"/>
          <w:sz w:val="28"/>
          <w:szCs w:val="28"/>
          <w:lang w:eastAsia="zh-CN"/>
        </w:rPr>
        <w:t>将</w:t>
      </w:r>
      <w:r>
        <w:rPr>
          <w:rFonts w:hint="eastAsia" w:asciiTheme="minorEastAsia" w:hAnsiTheme="minorEastAsia" w:eastAsiaTheme="minorEastAsia" w:cstheme="minorEastAsia"/>
          <w:sz w:val="28"/>
          <w:szCs w:val="28"/>
        </w:rPr>
        <w:t>OBE教育理念</w:t>
      </w:r>
      <w:r>
        <w:rPr>
          <w:rFonts w:hint="eastAsia" w:asciiTheme="minorEastAsia" w:hAnsiTheme="minorEastAsia" w:eastAsiaTheme="minorEastAsia" w:cstheme="minorEastAsia"/>
          <w:sz w:val="28"/>
          <w:szCs w:val="28"/>
          <w:lang w:eastAsia="zh-CN"/>
        </w:rPr>
        <w:t>贯彻于电机学教学当中，</w:t>
      </w:r>
      <w:r>
        <w:rPr>
          <w:rFonts w:hint="eastAsia" w:asciiTheme="minorEastAsia" w:hAnsiTheme="minorEastAsia" w:eastAsiaTheme="minorEastAsia" w:cstheme="minorEastAsia"/>
          <w:sz w:val="28"/>
          <w:szCs w:val="28"/>
        </w:rPr>
        <w:t>提高教师的</w:t>
      </w:r>
      <w:r>
        <w:rPr>
          <w:rFonts w:hint="eastAsia" w:asciiTheme="minorEastAsia" w:hAnsiTheme="minorEastAsia" w:eastAsiaTheme="minorEastAsia" w:cstheme="minorEastAsia"/>
          <w:sz w:val="28"/>
          <w:szCs w:val="28"/>
          <w:lang w:eastAsia="zh-CN"/>
        </w:rPr>
        <w:t>教学</w:t>
      </w:r>
      <w:r>
        <w:rPr>
          <w:rFonts w:hint="eastAsia" w:asciiTheme="minorEastAsia" w:hAnsiTheme="minorEastAsia" w:eastAsiaTheme="minorEastAsia" w:cstheme="minorEastAsia"/>
          <w:sz w:val="28"/>
          <w:szCs w:val="28"/>
        </w:rPr>
        <w:t xml:space="preserve">能力。 </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jc w:val="lef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重新修订《电机学》和《电机学实验》教学大纲，</w:t>
      </w:r>
      <w:r>
        <w:rPr>
          <w:rFonts w:hint="eastAsia" w:asciiTheme="minorEastAsia" w:hAnsiTheme="minorEastAsia" w:eastAsiaTheme="minorEastAsia" w:cstheme="minorEastAsia"/>
          <w:sz w:val="28"/>
          <w:szCs w:val="28"/>
          <w:lang w:eastAsia="zh-CN"/>
        </w:rPr>
        <w:t>将</w:t>
      </w:r>
      <w:r>
        <w:rPr>
          <w:rFonts w:hint="eastAsia" w:asciiTheme="minorEastAsia" w:hAnsiTheme="minorEastAsia" w:eastAsiaTheme="minorEastAsia" w:cstheme="minorEastAsia"/>
          <w:sz w:val="28"/>
          <w:szCs w:val="28"/>
        </w:rPr>
        <w:t>OBE教育理念</w:t>
      </w:r>
      <w:r>
        <w:rPr>
          <w:rFonts w:hint="eastAsia" w:asciiTheme="minorEastAsia" w:hAnsiTheme="minorEastAsia" w:eastAsiaTheme="minorEastAsia" w:cstheme="minorEastAsia"/>
          <w:sz w:val="28"/>
          <w:szCs w:val="28"/>
          <w:lang w:eastAsia="zh-CN"/>
        </w:rPr>
        <w:t>融入教学大纲中，增加了学生学习过程与评估措施，如图</w:t>
      </w:r>
      <w:r>
        <w:rPr>
          <w:rFonts w:hint="eastAsia" w:asciiTheme="minorEastAsia" w:hAnsiTheme="minorEastAsia" w:eastAsiaTheme="minorEastAsia" w:cstheme="minorEastAsia"/>
          <w:sz w:val="28"/>
          <w:szCs w:val="28"/>
          <w:lang w:val="en-US" w:eastAsia="zh-CN"/>
        </w:rPr>
        <w:t>1所示，</w:t>
      </w:r>
      <w:r>
        <w:rPr>
          <w:rFonts w:hint="eastAsia" w:asciiTheme="minorEastAsia" w:hAnsiTheme="minorEastAsia" w:eastAsiaTheme="minorEastAsia" w:cstheme="minorEastAsia"/>
          <w:sz w:val="28"/>
          <w:szCs w:val="28"/>
          <w:lang w:eastAsia="zh-CN"/>
        </w:rPr>
        <w:t>有利于提高教学质量，</w:t>
      </w:r>
      <w:r>
        <w:rPr>
          <w:rFonts w:hint="eastAsia" w:asciiTheme="minorEastAsia" w:hAnsiTheme="minorEastAsia" w:eastAsiaTheme="minorEastAsia" w:cstheme="minorEastAsia"/>
          <w:sz w:val="28"/>
          <w:szCs w:val="28"/>
        </w:rPr>
        <w:t>提升学生专业能力</w:t>
      </w:r>
      <w:r>
        <w:rPr>
          <w:rFonts w:hint="eastAsia" w:asciiTheme="minorEastAsia" w:hAnsiTheme="minorEastAsia" w:eastAsiaTheme="minorEastAsia" w:cstheme="minorEastAsia"/>
          <w:sz w:val="28"/>
          <w:szCs w:val="28"/>
          <w:lang w:eastAsia="zh-CN"/>
        </w:rPr>
        <w:t>、创新能力及工程思维</w:t>
      </w:r>
      <w:r>
        <w:rPr>
          <w:rFonts w:hint="eastAsia" w:asciiTheme="minorEastAsia" w:hAnsiTheme="minorEastAsia" w:eastAsiaTheme="minorEastAsia" w:cstheme="minorEastAsia"/>
          <w:sz w:val="28"/>
          <w:szCs w:val="28"/>
          <w:lang w:val="en-US" w:eastAsia="zh-CN"/>
        </w:rPr>
        <w:t>。</w:t>
      </w:r>
    </w:p>
    <w:p>
      <w:pPr>
        <w:spacing w:line="288" w:lineRule="auto"/>
        <w:jc w:val="center"/>
        <w:rPr>
          <w:rFonts w:hint="default" w:ascii="Times New Roman" w:hAnsi="Times New Roman" w:cs="Times New Roman"/>
          <w:sz w:val="24"/>
          <w:szCs w:val="24"/>
        </w:rPr>
      </w:pPr>
      <w:r>
        <w:rPr>
          <w:rFonts w:hint="default" w:ascii="Times New Roman" w:hAnsi="Times New Roman" w:cs="Times New Roman"/>
          <w:b/>
          <w:bCs/>
          <w:kern w:val="28"/>
          <w:sz w:val="24"/>
          <w:szCs w:val="24"/>
        </w:rPr>
        <w:drawing>
          <wp:inline distT="0" distB="0" distL="0" distR="0">
            <wp:extent cx="4889500" cy="3438525"/>
            <wp:effectExtent l="0" t="0" r="6350" b="952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4"/>
                    <a:srcRect/>
                    <a:stretch>
                      <a:fillRect/>
                    </a:stretch>
                  </pic:blipFill>
                  <pic:spPr>
                    <a:xfrm>
                      <a:off x="0" y="0"/>
                      <a:ext cx="4894668" cy="344195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bidi w:val="0"/>
        <w:snapToGrid/>
        <w:spacing w:line="240" w:lineRule="auto"/>
        <w:jc w:val="center"/>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Cs/>
          <w:kern w:val="28"/>
          <w:sz w:val="28"/>
          <w:szCs w:val="28"/>
        </w:rPr>
        <w:t>图1 学生课程学习情况跟踪与评估</w:t>
      </w:r>
    </w:p>
    <w:p>
      <w:pPr>
        <w:keepNext w:val="0"/>
        <w:keepLines w:val="0"/>
        <w:pageBreakBefore w:val="0"/>
        <w:widowControl/>
        <w:numPr>
          <w:ilvl w:val="0"/>
          <w:numId w:val="0"/>
        </w:numPr>
        <w:suppressLineNumbers w:val="0"/>
        <w:kinsoku/>
        <w:wordWrap/>
        <w:overflowPunct/>
        <w:topLinePunct w:val="0"/>
        <w:bidi w:val="0"/>
        <w:snapToGrid/>
        <w:spacing w:line="560" w:lineRule="exact"/>
        <w:ind w:firstLine="560" w:firstLineChars="200"/>
        <w:jc w:val="left"/>
        <w:textAlignment w:val="auto"/>
        <w:rPr>
          <w:rFonts w:hint="eastAsia" w:asciiTheme="minorEastAsia" w:hAnsiTheme="minorEastAsia" w:cstheme="minorEastAsia"/>
          <w:color w:val="000000"/>
          <w:kern w:val="0"/>
          <w:sz w:val="28"/>
          <w:szCs w:val="28"/>
          <w:lang w:val="en-US" w:eastAsia="zh-CN" w:bidi="ar"/>
        </w:rPr>
      </w:pPr>
      <w:r>
        <w:rPr>
          <w:rFonts w:hint="default" w:asciiTheme="minorEastAsia" w:hAnsiTheme="minorEastAsia" w:cstheme="minorEastAsia"/>
          <w:color w:val="000000"/>
          <w:kern w:val="0"/>
          <w:sz w:val="28"/>
          <w:szCs w:val="28"/>
          <w:lang w:val="en-US" w:eastAsia="zh-CN" w:bidi="ar"/>
        </w:rPr>
        <w:t>（</w:t>
      </w:r>
      <w:r>
        <w:rPr>
          <w:rFonts w:hint="eastAsia" w:asciiTheme="minorEastAsia" w:hAnsiTheme="minorEastAsia" w:cstheme="minorEastAsia"/>
          <w:color w:val="000000"/>
          <w:kern w:val="0"/>
          <w:sz w:val="28"/>
          <w:szCs w:val="28"/>
          <w:lang w:val="en-US" w:eastAsia="zh-CN" w:bidi="ar"/>
        </w:rPr>
        <w:t>3</w:t>
      </w:r>
      <w:r>
        <w:rPr>
          <w:rFonts w:hint="default" w:asciiTheme="minorEastAsia" w:hAnsiTheme="minorEastAsia" w:cstheme="minorEastAsia"/>
          <w:color w:val="000000"/>
          <w:kern w:val="0"/>
          <w:sz w:val="28"/>
          <w:szCs w:val="28"/>
          <w:lang w:val="en-US" w:eastAsia="zh-CN" w:bidi="ar"/>
        </w:rPr>
        <w:t>）根据地方本科院校学生特点，以应用型人才为主线，以</w:t>
      </w:r>
      <w:r>
        <w:rPr>
          <w:rFonts w:hint="eastAsia" w:asciiTheme="minorEastAsia" w:hAnsiTheme="minorEastAsia" w:cstheme="minorEastAsia"/>
          <w:color w:val="000000"/>
          <w:kern w:val="0"/>
          <w:sz w:val="28"/>
          <w:szCs w:val="28"/>
          <w:lang w:val="en-US" w:eastAsia="zh-CN" w:bidi="ar"/>
        </w:rPr>
        <w:t>“三个能力”（掌握基础理论能力，现场实践能力，综合运用能力）为目标，构建“三个层次”(基础实验技能层、综合实验技能层、应用层)电机学课程实践教学体系，搭建“教学做合一”实验平台，优化实践教学。</w:t>
      </w:r>
    </w:p>
    <w:p>
      <w:pPr>
        <w:keepNext w:val="0"/>
        <w:keepLines w:val="0"/>
        <w:pageBreakBefore w:val="0"/>
        <w:widowControl/>
        <w:numPr>
          <w:ilvl w:val="0"/>
          <w:numId w:val="0"/>
        </w:numPr>
        <w:suppressLineNumbers w:val="0"/>
        <w:kinsoku/>
        <w:wordWrap/>
        <w:overflowPunct/>
        <w:topLinePunct w:val="0"/>
        <w:bidi w:val="0"/>
        <w:snapToGrid/>
        <w:spacing w:line="560" w:lineRule="exact"/>
        <w:ind w:firstLine="560" w:firstLineChars="200"/>
        <w:jc w:val="left"/>
        <w:textAlignment w:val="auto"/>
        <w:rPr>
          <w:rFonts w:hint="default" w:asciiTheme="minorEastAsia" w:hAnsiTheme="minorEastAsia" w:cstheme="minorEastAsia"/>
          <w:color w:val="000000"/>
          <w:kern w:val="0"/>
          <w:sz w:val="28"/>
          <w:szCs w:val="28"/>
          <w:lang w:val="en-US" w:eastAsia="zh-CN" w:bidi="ar"/>
        </w:rPr>
      </w:pPr>
      <w:r>
        <w:rPr>
          <w:rFonts w:hint="default" w:asciiTheme="minorEastAsia" w:hAnsiTheme="minorEastAsia" w:cstheme="minorEastAsia"/>
          <w:color w:val="000000"/>
          <w:kern w:val="0"/>
          <w:sz w:val="28"/>
          <w:szCs w:val="28"/>
          <w:lang w:val="en-US" w:eastAsia="zh-CN" w:bidi="ar"/>
        </w:rPr>
        <w:t>（</w:t>
      </w:r>
      <w:r>
        <w:rPr>
          <w:rFonts w:hint="eastAsia" w:asciiTheme="minorEastAsia" w:hAnsiTheme="minorEastAsia" w:cstheme="minorEastAsia"/>
          <w:color w:val="000000"/>
          <w:kern w:val="0"/>
          <w:sz w:val="28"/>
          <w:szCs w:val="28"/>
          <w:lang w:val="en-US" w:eastAsia="zh-CN" w:bidi="ar"/>
        </w:rPr>
        <w:t>4</w:t>
      </w:r>
      <w:r>
        <w:rPr>
          <w:rFonts w:hint="default" w:asciiTheme="minorEastAsia" w:hAnsiTheme="minorEastAsia" w:cstheme="minorEastAsia"/>
          <w:color w:val="000000"/>
          <w:kern w:val="0"/>
          <w:sz w:val="28"/>
          <w:szCs w:val="28"/>
          <w:lang w:val="en-US" w:eastAsia="zh-CN" w:bidi="ar"/>
        </w:rPr>
        <w:t>）教学过程中，</w:t>
      </w:r>
      <w:r>
        <w:rPr>
          <w:rFonts w:hint="eastAsia" w:asciiTheme="minorEastAsia" w:hAnsiTheme="minorEastAsia" w:cstheme="minorEastAsia"/>
          <w:color w:val="000000"/>
          <w:kern w:val="0"/>
          <w:sz w:val="28"/>
          <w:szCs w:val="28"/>
          <w:lang w:val="en-US" w:eastAsia="zh-CN" w:bidi="ar"/>
        </w:rPr>
        <w:t>制定了</w:t>
      </w:r>
      <w:r>
        <w:rPr>
          <w:rFonts w:hint="default" w:asciiTheme="minorEastAsia" w:hAnsiTheme="minorEastAsia" w:cstheme="minorEastAsia"/>
          <w:color w:val="000000"/>
          <w:kern w:val="0"/>
          <w:sz w:val="28"/>
          <w:szCs w:val="28"/>
          <w:lang w:val="en-US" w:eastAsia="zh-CN" w:bidi="ar"/>
        </w:rPr>
        <w:t>《电机学》课程学生形成性评价体系，如图2所示，对学生电机学的整个学习过程进行跟踪评价，并随时调整教学方法和教学手段，提高学生学习效果，进一步提升教学</w:t>
      </w:r>
      <w:r>
        <w:rPr>
          <w:rFonts w:hint="eastAsia" w:asciiTheme="minorEastAsia" w:hAnsiTheme="minorEastAsia" w:cstheme="minorEastAsia"/>
          <w:color w:val="000000"/>
          <w:kern w:val="0"/>
          <w:sz w:val="28"/>
          <w:szCs w:val="28"/>
          <w:lang w:val="en-US" w:eastAsia="zh-CN" w:bidi="ar"/>
        </w:rPr>
        <w:t>质量</w:t>
      </w:r>
      <w:r>
        <w:rPr>
          <w:rFonts w:hint="default" w:asciiTheme="minorEastAsia" w:hAnsiTheme="minorEastAsia" w:cstheme="minorEastAsia"/>
          <w:color w:val="000000"/>
          <w:kern w:val="0"/>
          <w:sz w:val="28"/>
          <w:szCs w:val="28"/>
          <w:lang w:val="en-US" w:eastAsia="zh-CN" w:bidi="ar"/>
        </w:rPr>
        <w:t>。</w:t>
      </w:r>
    </w:p>
    <w:p>
      <w:pPr>
        <w:spacing w:line="288"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drawing>
          <wp:inline distT="0" distB="0" distL="0" distR="0">
            <wp:extent cx="4905375" cy="2324100"/>
            <wp:effectExtent l="0" t="0" r="0" b="0"/>
            <wp:docPr id="4" name="对象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8429602" cy="4071966"/>
                      <a:chOff x="642931" y="642918"/>
                      <a:chExt cx="8429602" cy="4071966"/>
                    </a:xfrm>
                  </a:grpSpPr>
                  <a:grpSp>
                    <a:nvGrpSpPr>
                      <a:cNvPr id="78" name="组合 77"/>
                      <a:cNvGrpSpPr/>
                    </a:nvGrpSpPr>
                    <a:grpSpPr>
                      <a:xfrm>
                        <a:off x="642931" y="642918"/>
                        <a:ext cx="8429602" cy="4071966"/>
                        <a:chOff x="642931" y="642918"/>
                        <a:chExt cx="8429602" cy="4071966"/>
                      </a:xfrm>
                    </a:grpSpPr>
                    <a:sp>
                      <a:nvSpPr>
                        <a:cNvPr id="12293" name="TextBox 4"/>
                        <a:cNvSpPr txBox="1">
                          <a:spLocks noChangeArrowheads="1"/>
                        </a:cNvSpPr>
                      </a:nvSpPr>
                      <a:spPr bwMode="auto">
                        <a:xfrm>
                          <a:off x="642931" y="928688"/>
                          <a:ext cx="1071562" cy="369329"/>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a:t>教师</a:t>
                            </a:r>
                            <a:endParaRPr lang="zh-CN" altLang="en-US" b="1"/>
                          </a:p>
                        </a:txBody>
                        <a:useSpRect/>
                      </a:txSp>
                    </a:sp>
                    <a:sp>
                      <a:nvSpPr>
                        <a:cNvPr id="12294" name="TextBox 5"/>
                        <a:cNvSpPr txBox="1">
                          <a:spLocks noChangeArrowheads="1"/>
                        </a:cNvSpPr>
                      </a:nvSpPr>
                      <a:spPr bwMode="auto">
                        <a:xfrm>
                          <a:off x="642931" y="4071938"/>
                          <a:ext cx="1071562" cy="369329"/>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a:t>学生</a:t>
                            </a:r>
                            <a:endParaRPr lang="zh-CN" altLang="en-US" b="1"/>
                          </a:p>
                        </a:txBody>
                        <a:useSpRect/>
                      </a:txSp>
                    </a:sp>
                    <a:grpSp>
                      <a:nvGrpSpPr>
                        <a:cNvPr id="5" name="组合 8"/>
                        <a:cNvGrpSpPr/>
                      </a:nvGrpSpPr>
                      <a:grpSpPr bwMode="auto">
                        <a:xfrm>
                          <a:off x="928664" y="1571625"/>
                          <a:ext cx="785813" cy="646327"/>
                          <a:chOff x="2143108" y="1571612"/>
                          <a:chExt cx="785818" cy="646331"/>
                        </a:xfrm>
                      </a:grpSpPr>
                      <a:sp>
                        <a:nvSpPr>
                          <a:cNvPr id="12337" name="圆角矩形 7"/>
                          <a:cNvSpPr>
                            <a:spLocks noChangeArrowheads="1"/>
                          </a:cNvSpPr>
                        </a:nvSpPr>
                        <a:spPr bwMode="auto">
                          <a:xfrm>
                            <a:off x="2143108" y="1571612"/>
                            <a:ext cx="714380" cy="642942"/>
                          </a:xfrm>
                          <a:prstGeom prst="roundRect">
                            <a:avLst>
                              <a:gd name="adj" fmla="val 16667"/>
                            </a:avLst>
                          </a:prstGeom>
                          <a:solidFill>
                            <a:srgbClr val="FFFFFF"/>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38" name="TextBox 6"/>
                          <a:cNvSpPr txBox="1">
                            <a:spLocks noChangeArrowheads="1"/>
                          </a:cNvSpPr>
                        </a:nvSpPr>
                        <a:spPr bwMode="auto">
                          <a:xfrm>
                            <a:off x="2143108" y="1571612"/>
                            <a:ext cx="785818" cy="646331"/>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a:t>课堂表现</a:t>
                              </a:r>
                              <a:endParaRPr lang="zh-CN" altLang="en-US" b="1"/>
                            </a:p>
                          </a:txBody>
                          <a:useSpRect/>
                        </a:txSp>
                      </a:sp>
                    </a:grpSp>
                    <a:sp>
                      <a:nvSpPr>
                        <a:cNvPr id="12296" name="右箭头 9"/>
                        <a:cNvSpPr>
                          <a:spLocks noChangeArrowheads="1"/>
                        </a:cNvSpPr>
                      </a:nvSpPr>
                      <a:spPr bwMode="auto">
                        <a:xfrm>
                          <a:off x="1643037" y="1785938"/>
                          <a:ext cx="642937" cy="142875"/>
                        </a:xfrm>
                        <a:prstGeom prst="right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7" name="组合 10"/>
                        <a:cNvGrpSpPr/>
                      </a:nvGrpSpPr>
                      <a:grpSpPr bwMode="auto">
                        <a:xfrm>
                          <a:off x="2285969" y="1568236"/>
                          <a:ext cx="785813" cy="646331"/>
                          <a:chOff x="2143108" y="1571612"/>
                          <a:chExt cx="785818" cy="646335"/>
                        </a:xfrm>
                      </a:grpSpPr>
                      <a:sp>
                        <a:nvSpPr>
                          <a:cNvPr id="12335" name="圆角矩形 11"/>
                          <a:cNvSpPr>
                            <a:spLocks noChangeArrowheads="1"/>
                          </a:cNvSpPr>
                        </a:nvSpPr>
                        <a:spPr bwMode="auto">
                          <a:xfrm>
                            <a:off x="2143108" y="1571612"/>
                            <a:ext cx="714380" cy="642942"/>
                          </a:xfrm>
                          <a:prstGeom prst="roundRect">
                            <a:avLst>
                              <a:gd name="adj" fmla="val 16667"/>
                            </a:avLst>
                          </a:prstGeom>
                          <a:solidFill>
                            <a:srgbClr val="FFFFFF"/>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36" name="TextBox 12"/>
                          <a:cNvSpPr txBox="1">
                            <a:spLocks noChangeArrowheads="1"/>
                          </a:cNvSpPr>
                        </a:nvSpPr>
                        <a:spPr bwMode="auto">
                          <a:xfrm>
                            <a:off x="2143108" y="1571612"/>
                            <a:ext cx="785818" cy="646335"/>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dirty="0" smtClean="0"/>
                                <a:t>课堂研讨</a:t>
                              </a:r>
                              <a:endParaRPr lang="zh-CN" altLang="en-US" b="1" dirty="0"/>
                            </a:p>
                          </a:txBody>
                          <a:useSpRect/>
                        </a:txSp>
                      </a:sp>
                    </a:grpSp>
                    <a:sp>
                      <a:nvSpPr>
                        <a:cNvPr id="12298" name="右箭头 13"/>
                        <a:cNvSpPr>
                          <a:spLocks noChangeArrowheads="1"/>
                        </a:cNvSpPr>
                      </a:nvSpPr>
                      <a:spPr bwMode="auto">
                        <a:xfrm>
                          <a:off x="3000342" y="1782549"/>
                          <a:ext cx="642937" cy="142875"/>
                        </a:xfrm>
                        <a:prstGeom prst="right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9" name="组合 14"/>
                        <a:cNvGrpSpPr/>
                      </a:nvGrpSpPr>
                      <a:grpSpPr bwMode="auto">
                        <a:xfrm>
                          <a:off x="5000597" y="1571625"/>
                          <a:ext cx="785813" cy="646327"/>
                          <a:chOff x="2143108" y="1571612"/>
                          <a:chExt cx="785818" cy="646331"/>
                        </a:xfrm>
                      </a:grpSpPr>
                      <a:sp>
                        <a:nvSpPr>
                          <a:cNvPr id="12333" name="圆角矩形 15"/>
                          <a:cNvSpPr>
                            <a:spLocks noChangeArrowheads="1"/>
                          </a:cNvSpPr>
                        </a:nvSpPr>
                        <a:spPr bwMode="auto">
                          <a:xfrm>
                            <a:off x="2143108" y="1571612"/>
                            <a:ext cx="714380" cy="642942"/>
                          </a:xfrm>
                          <a:prstGeom prst="roundRect">
                            <a:avLst>
                              <a:gd name="adj" fmla="val 16667"/>
                            </a:avLst>
                          </a:prstGeom>
                          <a:solidFill>
                            <a:srgbClr val="FFFFFF"/>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34" name="TextBox 16"/>
                          <a:cNvSpPr txBox="1">
                            <a:spLocks noChangeArrowheads="1"/>
                          </a:cNvSpPr>
                        </a:nvSpPr>
                        <a:spPr bwMode="auto">
                          <a:xfrm>
                            <a:off x="2143108" y="1571612"/>
                            <a:ext cx="785818" cy="646331"/>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a:t>随堂测试</a:t>
                              </a:r>
                              <a:endParaRPr lang="zh-CN" altLang="en-US" b="1"/>
                            </a:p>
                          </a:txBody>
                          <a:useSpRect/>
                        </a:txSp>
                      </a:sp>
                    </a:grpSp>
                    <a:sp>
                      <a:nvSpPr>
                        <a:cNvPr id="12300" name="右箭头 17"/>
                        <a:cNvSpPr>
                          <a:spLocks noChangeArrowheads="1"/>
                        </a:cNvSpPr>
                      </a:nvSpPr>
                      <a:spPr bwMode="auto">
                        <a:xfrm>
                          <a:off x="5714970" y="1785938"/>
                          <a:ext cx="642937" cy="142875"/>
                        </a:xfrm>
                        <a:prstGeom prst="right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11" name="组合 18"/>
                        <a:cNvGrpSpPr/>
                      </a:nvGrpSpPr>
                      <a:grpSpPr bwMode="auto">
                        <a:xfrm>
                          <a:off x="6357900" y="1571625"/>
                          <a:ext cx="785813" cy="646331"/>
                          <a:chOff x="2143108" y="1571612"/>
                          <a:chExt cx="785818" cy="646335"/>
                        </a:xfrm>
                      </a:grpSpPr>
                      <a:sp>
                        <a:nvSpPr>
                          <a:cNvPr id="12331" name="圆角矩形 19"/>
                          <a:cNvSpPr>
                            <a:spLocks noChangeArrowheads="1"/>
                          </a:cNvSpPr>
                        </a:nvSpPr>
                        <a:spPr bwMode="auto">
                          <a:xfrm>
                            <a:off x="2143108" y="1571612"/>
                            <a:ext cx="714380" cy="642942"/>
                          </a:xfrm>
                          <a:prstGeom prst="roundRect">
                            <a:avLst>
                              <a:gd name="adj" fmla="val 16667"/>
                            </a:avLst>
                          </a:prstGeom>
                          <a:solidFill>
                            <a:srgbClr val="FFFFFF"/>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32" name="TextBox 20"/>
                          <a:cNvSpPr txBox="1">
                            <a:spLocks noChangeArrowheads="1"/>
                          </a:cNvSpPr>
                        </a:nvSpPr>
                        <a:spPr bwMode="auto">
                          <a:xfrm>
                            <a:off x="2143108" y="1571612"/>
                            <a:ext cx="785818" cy="646335"/>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dirty="0" smtClean="0"/>
                                <a:t>自学报告</a:t>
                              </a:r>
                              <a:endParaRPr lang="zh-CN" altLang="en-US" b="1" dirty="0"/>
                            </a:p>
                          </a:txBody>
                          <a:useSpRect/>
                        </a:txSp>
                      </a:sp>
                    </a:grpSp>
                    <a:sp>
                      <a:nvSpPr>
                        <a:cNvPr id="12302" name="下箭头 23"/>
                        <a:cNvSpPr>
                          <a:spLocks noChangeArrowheads="1"/>
                        </a:cNvSpPr>
                      </a:nvSpPr>
                      <a:spPr bwMode="auto">
                        <a:xfrm>
                          <a:off x="1857350" y="785813"/>
                          <a:ext cx="142875" cy="1357313"/>
                        </a:xfrm>
                        <a:prstGeom prst="downArrow">
                          <a:avLst>
                            <a:gd name="adj1" fmla="val 50000"/>
                            <a:gd name="adj2" fmla="val 50007"/>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13" name="组合 29"/>
                        <a:cNvGrpSpPr/>
                      </a:nvGrpSpPr>
                      <a:grpSpPr bwMode="auto">
                        <a:xfrm>
                          <a:off x="1714475" y="2214563"/>
                          <a:ext cx="571500" cy="1857375"/>
                          <a:chOff x="3000364" y="2214554"/>
                          <a:chExt cx="571504" cy="1857388"/>
                        </a:xfrm>
                      </a:grpSpPr>
                      <a:sp>
                        <a:nvSpPr>
                          <a:cNvPr id="12329" name="圆角矩形 28"/>
                          <a:cNvSpPr>
                            <a:spLocks noChangeArrowheads="1"/>
                          </a:cNvSpPr>
                        </a:nvSpPr>
                        <a:spPr bwMode="auto">
                          <a:xfrm>
                            <a:off x="3000364" y="2214554"/>
                            <a:ext cx="428628" cy="1857388"/>
                          </a:xfrm>
                          <a:prstGeom prst="roundRect">
                            <a:avLst>
                              <a:gd name="adj" fmla="val 16667"/>
                            </a:avLst>
                          </a:prstGeom>
                          <a:solidFill>
                            <a:schemeClr val="bg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30" name="TextBox 26"/>
                          <a:cNvSpPr txBox="1">
                            <a:spLocks noChangeArrowheads="1"/>
                          </a:cNvSpPr>
                        </a:nvSpPr>
                        <a:spPr bwMode="auto">
                          <a:xfrm>
                            <a:off x="3000364" y="2285992"/>
                            <a:ext cx="571504" cy="1754326"/>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a:t>课堂表现反馈</a:t>
                              </a:r>
                              <a:endParaRPr lang="zh-CN" altLang="en-US" b="1"/>
                            </a:p>
                          </a:txBody>
                          <a:useSpRect/>
                        </a:txSp>
                      </a:sp>
                    </a:grpSp>
                    <a:sp>
                      <a:nvSpPr>
                        <a:cNvPr id="12304" name="下箭头 30"/>
                        <a:cNvSpPr>
                          <a:spLocks noChangeArrowheads="1"/>
                        </a:cNvSpPr>
                      </a:nvSpPr>
                      <a:spPr bwMode="auto">
                        <a:xfrm>
                          <a:off x="1857350" y="4143375"/>
                          <a:ext cx="142875" cy="403847"/>
                        </a:xfrm>
                        <a:prstGeom prst="downArrow">
                          <a:avLst>
                            <a:gd name="adj1" fmla="val 50000"/>
                            <a:gd name="adj2" fmla="val 50002"/>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05" name="下箭头 31"/>
                        <a:cNvSpPr>
                          <a:spLocks noChangeArrowheads="1"/>
                        </a:cNvSpPr>
                      </a:nvSpPr>
                      <a:spPr bwMode="auto">
                        <a:xfrm>
                          <a:off x="3214655" y="785813"/>
                          <a:ext cx="142875" cy="1357313"/>
                        </a:xfrm>
                        <a:prstGeom prst="downArrow">
                          <a:avLst>
                            <a:gd name="adj1" fmla="val 50000"/>
                            <a:gd name="adj2" fmla="val 50007"/>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16" name="组合 32"/>
                        <a:cNvGrpSpPr/>
                      </a:nvGrpSpPr>
                      <a:grpSpPr bwMode="auto">
                        <a:xfrm>
                          <a:off x="3071780" y="2214563"/>
                          <a:ext cx="571500" cy="1857375"/>
                          <a:chOff x="3000364" y="2214554"/>
                          <a:chExt cx="571504" cy="1857388"/>
                        </a:xfrm>
                      </a:grpSpPr>
                      <a:sp>
                        <a:nvSpPr>
                          <a:cNvPr id="12327" name="圆角矩形 33"/>
                          <a:cNvSpPr>
                            <a:spLocks noChangeArrowheads="1"/>
                          </a:cNvSpPr>
                        </a:nvSpPr>
                        <a:spPr bwMode="auto">
                          <a:xfrm>
                            <a:off x="3000364" y="2214554"/>
                            <a:ext cx="428628" cy="1857388"/>
                          </a:xfrm>
                          <a:prstGeom prst="roundRect">
                            <a:avLst>
                              <a:gd name="adj" fmla="val 16667"/>
                            </a:avLst>
                          </a:prstGeom>
                          <a:solidFill>
                            <a:schemeClr val="bg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28" name="TextBox 34"/>
                          <a:cNvSpPr txBox="1">
                            <a:spLocks noChangeArrowheads="1"/>
                          </a:cNvSpPr>
                        </a:nvSpPr>
                        <a:spPr bwMode="auto">
                          <a:xfrm>
                            <a:off x="3000364" y="2285993"/>
                            <a:ext cx="571504" cy="1754338"/>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dirty="0" smtClean="0"/>
                                <a:t>课堂研讨反馈</a:t>
                              </a:r>
                              <a:endParaRPr lang="zh-CN" altLang="en-US" b="1" dirty="0"/>
                            </a:p>
                          </a:txBody>
                          <a:useSpRect/>
                        </a:txSp>
                      </a:sp>
                    </a:grpSp>
                    <a:sp>
                      <a:nvSpPr>
                        <a:cNvPr id="12307" name="下箭头 35"/>
                        <a:cNvSpPr>
                          <a:spLocks noChangeArrowheads="1"/>
                        </a:cNvSpPr>
                      </a:nvSpPr>
                      <a:spPr bwMode="auto">
                        <a:xfrm>
                          <a:off x="3214655" y="4143375"/>
                          <a:ext cx="142875" cy="403847"/>
                        </a:xfrm>
                        <a:prstGeom prst="downArrow">
                          <a:avLst>
                            <a:gd name="adj1" fmla="val 50000"/>
                            <a:gd name="adj2" fmla="val 50002"/>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08" name="下箭头 36"/>
                        <a:cNvSpPr>
                          <a:spLocks noChangeArrowheads="1"/>
                        </a:cNvSpPr>
                      </a:nvSpPr>
                      <a:spPr bwMode="auto">
                        <a:xfrm>
                          <a:off x="5929283" y="785813"/>
                          <a:ext cx="142875" cy="1357313"/>
                        </a:xfrm>
                        <a:prstGeom prst="downArrow">
                          <a:avLst>
                            <a:gd name="adj1" fmla="val 50000"/>
                            <a:gd name="adj2" fmla="val 50007"/>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19" name="组合 37"/>
                        <a:cNvGrpSpPr/>
                      </a:nvGrpSpPr>
                      <a:grpSpPr bwMode="auto">
                        <a:xfrm>
                          <a:off x="5786408" y="2214563"/>
                          <a:ext cx="571500" cy="1857375"/>
                          <a:chOff x="3000364" y="2214554"/>
                          <a:chExt cx="571504" cy="1857388"/>
                        </a:xfrm>
                      </a:grpSpPr>
                      <a:sp>
                        <a:nvSpPr>
                          <a:cNvPr id="12325" name="圆角矩形 38"/>
                          <a:cNvSpPr>
                            <a:spLocks noChangeArrowheads="1"/>
                          </a:cNvSpPr>
                        </a:nvSpPr>
                        <a:spPr bwMode="auto">
                          <a:xfrm>
                            <a:off x="3000364" y="2214554"/>
                            <a:ext cx="428628" cy="1857388"/>
                          </a:xfrm>
                          <a:prstGeom prst="roundRect">
                            <a:avLst>
                              <a:gd name="adj" fmla="val 16667"/>
                            </a:avLst>
                          </a:prstGeom>
                          <a:solidFill>
                            <a:schemeClr val="bg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26" name="TextBox 39"/>
                          <a:cNvSpPr txBox="1">
                            <a:spLocks noChangeArrowheads="1"/>
                          </a:cNvSpPr>
                        </a:nvSpPr>
                        <a:spPr bwMode="auto">
                          <a:xfrm>
                            <a:off x="3000364" y="2285992"/>
                            <a:ext cx="571504" cy="1754326"/>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a:t>随堂测试反馈</a:t>
                              </a:r>
                              <a:endParaRPr lang="zh-CN" altLang="en-US" b="1"/>
                            </a:p>
                          </a:txBody>
                          <a:useSpRect/>
                        </a:txSp>
                      </a:sp>
                    </a:grpSp>
                    <a:sp>
                      <a:nvSpPr>
                        <a:cNvPr id="12310" name="下箭头 40"/>
                        <a:cNvSpPr>
                          <a:spLocks noChangeArrowheads="1"/>
                        </a:cNvSpPr>
                      </a:nvSpPr>
                      <a:spPr bwMode="auto">
                        <a:xfrm>
                          <a:off x="5929283" y="4143375"/>
                          <a:ext cx="142875" cy="403847"/>
                        </a:xfrm>
                        <a:prstGeom prst="downArrow">
                          <a:avLst>
                            <a:gd name="adj1" fmla="val 50000"/>
                            <a:gd name="adj2" fmla="val 50002"/>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11" name="右箭头 41"/>
                        <a:cNvSpPr>
                          <a:spLocks noChangeArrowheads="1"/>
                        </a:cNvSpPr>
                      </a:nvSpPr>
                      <a:spPr bwMode="auto">
                        <a:xfrm>
                          <a:off x="7072273" y="1785938"/>
                          <a:ext cx="642937" cy="142875"/>
                        </a:xfrm>
                        <a:prstGeom prst="right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12" name="下箭头 42"/>
                        <a:cNvSpPr>
                          <a:spLocks noChangeArrowheads="1"/>
                        </a:cNvSpPr>
                      </a:nvSpPr>
                      <a:spPr bwMode="auto">
                        <a:xfrm>
                          <a:off x="7286586" y="785813"/>
                          <a:ext cx="142875" cy="1357313"/>
                        </a:xfrm>
                        <a:prstGeom prst="downArrow">
                          <a:avLst>
                            <a:gd name="adj1" fmla="val 50000"/>
                            <a:gd name="adj2" fmla="val 50007"/>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23" name="组合 43"/>
                        <a:cNvGrpSpPr/>
                      </a:nvGrpSpPr>
                      <a:grpSpPr bwMode="auto">
                        <a:xfrm>
                          <a:off x="7143711" y="2214563"/>
                          <a:ext cx="571500" cy="1857375"/>
                          <a:chOff x="3000364" y="2214554"/>
                          <a:chExt cx="571504" cy="1857388"/>
                        </a:xfrm>
                      </a:grpSpPr>
                      <a:sp>
                        <a:nvSpPr>
                          <a:cNvPr id="12323" name="圆角矩形 44"/>
                          <a:cNvSpPr>
                            <a:spLocks noChangeArrowheads="1"/>
                          </a:cNvSpPr>
                        </a:nvSpPr>
                        <a:spPr bwMode="auto">
                          <a:xfrm>
                            <a:off x="3000364" y="2214554"/>
                            <a:ext cx="428628" cy="1857388"/>
                          </a:xfrm>
                          <a:prstGeom prst="roundRect">
                            <a:avLst>
                              <a:gd name="adj" fmla="val 16667"/>
                            </a:avLst>
                          </a:prstGeom>
                          <a:solidFill>
                            <a:schemeClr val="bg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24" name="TextBox 45"/>
                          <a:cNvSpPr txBox="1">
                            <a:spLocks noChangeArrowheads="1"/>
                          </a:cNvSpPr>
                        </a:nvSpPr>
                        <a:spPr bwMode="auto">
                          <a:xfrm>
                            <a:off x="3000364" y="2285993"/>
                            <a:ext cx="571504" cy="1754338"/>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dirty="0" smtClean="0"/>
                                <a:t>自学报告反馈</a:t>
                              </a:r>
                              <a:endParaRPr lang="zh-CN" altLang="en-US" b="1" dirty="0"/>
                            </a:p>
                          </a:txBody>
                          <a:useSpRect/>
                        </a:txSp>
                      </a:sp>
                    </a:grpSp>
                    <a:sp>
                      <a:nvSpPr>
                        <a:cNvPr id="12314" name="下箭头 46"/>
                        <a:cNvSpPr>
                          <a:spLocks noChangeArrowheads="1"/>
                        </a:cNvSpPr>
                      </a:nvSpPr>
                      <a:spPr bwMode="auto">
                        <a:xfrm>
                          <a:off x="7286586" y="4143375"/>
                          <a:ext cx="142875" cy="403847"/>
                        </a:xfrm>
                        <a:prstGeom prst="downArrow">
                          <a:avLst>
                            <a:gd name="adj1" fmla="val 50000"/>
                            <a:gd name="adj2" fmla="val 50002"/>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15" name="下箭头 47"/>
                        <a:cNvSpPr>
                          <a:spLocks noChangeArrowheads="1"/>
                        </a:cNvSpPr>
                      </a:nvSpPr>
                      <a:spPr bwMode="auto">
                        <a:xfrm rot="10800000">
                          <a:off x="1214412" y="2286000"/>
                          <a:ext cx="142875" cy="2286000"/>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16" name="下箭头 48"/>
                        <a:cNvSpPr>
                          <a:spLocks noChangeArrowheads="1"/>
                        </a:cNvSpPr>
                      </a:nvSpPr>
                      <a:spPr bwMode="auto">
                        <a:xfrm rot="10800000">
                          <a:off x="2571717" y="2286000"/>
                          <a:ext cx="142875" cy="2286000"/>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17" name="下箭头 49"/>
                        <a:cNvSpPr>
                          <a:spLocks noChangeArrowheads="1"/>
                        </a:cNvSpPr>
                      </a:nvSpPr>
                      <a:spPr bwMode="auto">
                        <a:xfrm rot="10800000">
                          <a:off x="5286346" y="2286000"/>
                          <a:ext cx="142875" cy="2286000"/>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18" name="下箭头 50"/>
                        <a:cNvSpPr>
                          <a:spLocks noChangeArrowheads="1"/>
                        </a:cNvSpPr>
                      </a:nvSpPr>
                      <a:spPr bwMode="auto">
                        <a:xfrm rot="10800000">
                          <a:off x="6643649" y="2286000"/>
                          <a:ext cx="142875" cy="2286000"/>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19" name="下箭头 51"/>
                        <a:cNvSpPr>
                          <a:spLocks noChangeArrowheads="1"/>
                        </a:cNvSpPr>
                      </a:nvSpPr>
                      <a:spPr bwMode="auto">
                        <a:xfrm rot="10800000">
                          <a:off x="1214412" y="857249"/>
                          <a:ext cx="142875" cy="714375"/>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20" name="下箭头 52"/>
                        <a:cNvSpPr>
                          <a:spLocks noChangeArrowheads="1"/>
                        </a:cNvSpPr>
                      </a:nvSpPr>
                      <a:spPr bwMode="auto">
                        <a:xfrm rot="10800000">
                          <a:off x="2571717" y="857250"/>
                          <a:ext cx="142875" cy="714375"/>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21" name="下箭头 53"/>
                        <a:cNvSpPr>
                          <a:spLocks noChangeArrowheads="1"/>
                        </a:cNvSpPr>
                      </a:nvSpPr>
                      <a:spPr bwMode="auto">
                        <a:xfrm rot="10800000">
                          <a:off x="5286345" y="857250"/>
                          <a:ext cx="142875" cy="714375"/>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12322" name="下箭头 54"/>
                        <a:cNvSpPr>
                          <a:spLocks noChangeArrowheads="1"/>
                        </a:cNvSpPr>
                      </a:nvSpPr>
                      <a:spPr bwMode="auto">
                        <a:xfrm rot="10800000">
                          <a:off x="6643648" y="857251"/>
                          <a:ext cx="142875" cy="714375"/>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53" name="右箭头 52"/>
                        <a:cNvSpPr/>
                      </a:nvSpPr>
                      <a:spPr bwMode="auto">
                        <a:xfrm>
                          <a:off x="857224" y="642918"/>
                          <a:ext cx="8143932" cy="142876"/>
                        </a:xfrm>
                        <a:prstGeom prst="rightArrow">
                          <a:avLst/>
                        </a:prstGeom>
                        <a:solidFill>
                          <a:schemeClr val="accent1"/>
                        </a:solidFill>
                        <a:ln w="31750" cap="flat" cmpd="sng" algn="ctr">
                          <a:solidFill>
                            <a:schemeClr val="tx1"/>
                          </a:solidFill>
                          <a:prstDash val="solid"/>
                          <a:round/>
                          <a:headEnd type="none" w="med" len="med"/>
                          <a:tailEnd type="none" w="med" len="med"/>
                        </a:ln>
                        <a:effectLst/>
                      </a:spPr>
                      <a:txSp>
                        <a:txBody>
                          <a:bodyPr vert="horz" wrap="square" lIns="90000" tIns="46800" rIns="90000" bIns="46800" numCol="1" rtlCol="0" anchor="t" anchorCtr="0" compatLnSpc="1">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pPr marL="0" marR="0" indent="0" algn="l" defTabSz="914400" rtl="0" eaLnBrk="1" fontAlgn="base" latinLnBrk="0" hangingPunct="1">
                              <a:lnSpc>
                                <a:spcPct val="100000"/>
                              </a:lnSpc>
                              <a:spcBef>
                                <a:spcPct val="0"/>
                              </a:spcBef>
                              <a:spcAft>
                                <a:spcPct val="0"/>
                              </a:spcAft>
                              <a:buClrTx/>
                              <a:buSzTx/>
                              <a:buFontTx/>
                              <a:buNone/>
                            </a:pPr>
                            <a:endParaRPr kumimoji="0" lang="zh-CN" altLang="en-US" sz="1800" b="0" i="0" u="none" strike="noStrike" cap="none" normalizeH="0" baseline="0" smtClean="0">
                              <a:ln>
                                <a:noFill/>
                              </a:ln>
                              <a:solidFill>
                                <a:schemeClr val="tx1"/>
                              </a:solidFill>
                              <a:effectLst/>
                              <a:latin typeface="Tahoma" panose="020B0604030504040204" pitchFamily="34" charset="0"/>
                              <a:ea typeface="宋体" panose="02010600030101010101" charset="-122"/>
                            </a:endParaRPr>
                          </a:p>
                        </a:txBody>
                        <a:useSpRect/>
                      </a:txSp>
                    </a:sp>
                    <a:sp>
                      <a:nvSpPr>
                        <a:cNvPr id="54" name="右箭头 53"/>
                        <a:cNvSpPr/>
                      </a:nvSpPr>
                      <a:spPr bwMode="auto">
                        <a:xfrm>
                          <a:off x="857224" y="4572008"/>
                          <a:ext cx="8143932" cy="142876"/>
                        </a:xfrm>
                        <a:prstGeom prst="rightArrow">
                          <a:avLst/>
                        </a:prstGeom>
                        <a:solidFill>
                          <a:schemeClr val="accent1"/>
                        </a:solidFill>
                        <a:ln w="31750" cap="flat" cmpd="sng" algn="ctr">
                          <a:solidFill>
                            <a:schemeClr val="tx1"/>
                          </a:solidFill>
                          <a:prstDash val="solid"/>
                          <a:round/>
                          <a:headEnd type="none" w="med" len="med"/>
                          <a:tailEnd type="none" w="med" len="med"/>
                        </a:ln>
                        <a:effectLst/>
                      </a:spPr>
                      <a:txSp>
                        <a:txBody>
                          <a:bodyPr vert="horz" wrap="square" lIns="90000" tIns="46800" rIns="90000" bIns="46800" numCol="1" rtlCol="0" anchor="t" anchorCtr="0" compatLnSpc="1">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pPr marL="0" marR="0" indent="0" algn="l" defTabSz="914400" rtl="0" eaLnBrk="1" fontAlgn="base" latinLnBrk="0" hangingPunct="1">
                              <a:lnSpc>
                                <a:spcPct val="100000"/>
                              </a:lnSpc>
                              <a:spcBef>
                                <a:spcPct val="0"/>
                              </a:spcBef>
                              <a:spcAft>
                                <a:spcPct val="0"/>
                              </a:spcAft>
                              <a:buClrTx/>
                              <a:buSzTx/>
                              <a:buFontTx/>
                              <a:buNone/>
                            </a:pPr>
                            <a:endParaRPr kumimoji="0" lang="zh-CN" altLang="en-US" sz="1800" b="0" i="0" u="none" strike="noStrike" cap="none" normalizeH="0" baseline="0" smtClean="0">
                              <a:ln>
                                <a:noFill/>
                              </a:ln>
                              <a:solidFill>
                                <a:schemeClr val="tx1"/>
                              </a:solidFill>
                              <a:effectLst/>
                              <a:latin typeface="Tahoma" panose="020B0604030504040204" pitchFamily="34" charset="0"/>
                              <a:ea typeface="宋体" panose="02010600030101010101" charset="-122"/>
                            </a:endParaRPr>
                          </a:p>
                        </a:txBody>
                        <a:useSpRect/>
                      </a:txSp>
                    </a:sp>
                    <a:grpSp>
                      <a:nvGrpSpPr>
                        <a:cNvPr id="35" name="组合 14"/>
                        <a:cNvGrpSpPr/>
                      </a:nvGrpSpPr>
                      <a:grpSpPr bwMode="auto">
                        <a:xfrm>
                          <a:off x="3643284" y="1571633"/>
                          <a:ext cx="785813" cy="646327"/>
                          <a:chOff x="2143108" y="1571612"/>
                          <a:chExt cx="785818" cy="646331"/>
                        </a:xfrm>
                      </a:grpSpPr>
                      <a:sp>
                        <a:nvSpPr>
                          <a:cNvPr id="56" name="圆角矩形 15"/>
                          <a:cNvSpPr>
                            <a:spLocks noChangeArrowheads="1"/>
                          </a:cNvSpPr>
                        </a:nvSpPr>
                        <a:spPr bwMode="auto">
                          <a:xfrm>
                            <a:off x="2143108" y="1571612"/>
                            <a:ext cx="714380" cy="642942"/>
                          </a:xfrm>
                          <a:prstGeom prst="roundRect">
                            <a:avLst>
                              <a:gd name="adj" fmla="val 16667"/>
                            </a:avLst>
                          </a:prstGeom>
                          <a:solidFill>
                            <a:srgbClr val="FFFFFF"/>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57" name="TextBox 16"/>
                          <a:cNvSpPr txBox="1">
                            <a:spLocks noChangeArrowheads="1"/>
                          </a:cNvSpPr>
                        </a:nvSpPr>
                        <a:spPr bwMode="auto">
                          <a:xfrm>
                            <a:off x="2143108" y="1571612"/>
                            <a:ext cx="785818" cy="646331"/>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dirty="0" smtClean="0"/>
                                <a:t>课后作业</a:t>
                              </a:r>
                              <a:endParaRPr lang="zh-CN" altLang="en-US" b="1" dirty="0"/>
                            </a:p>
                          </a:txBody>
                          <a:useSpRect/>
                        </a:txSp>
                      </a:sp>
                    </a:grpSp>
                    <a:sp>
                      <a:nvSpPr>
                        <a:cNvPr id="58" name="右箭头 17"/>
                        <a:cNvSpPr>
                          <a:spLocks noChangeArrowheads="1"/>
                        </a:cNvSpPr>
                      </a:nvSpPr>
                      <a:spPr bwMode="auto">
                        <a:xfrm>
                          <a:off x="4357657" y="1785946"/>
                          <a:ext cx="642937" cy="142875"/>
                        </a:xfrm>
                        <a:prstGeom prst="right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59" name="下箭头 36"/>
                        <a:cNvSpPr>
                          <a:spLocks noChangeArrowheads="1"/>
                        </a:cNvSpPr>
                      </a:nvSpPr>
                      <a:spPr bwMode="auto">
                        <a:xfrm>
                          <a:off x="4571970" y="785821"/>
                          <a:ext cx="142875" cy="1357313"/>
                        </a:xfrm>
                        <a:prstGeom prst="downArrow">
                          <a:avLst>
                            <a:gd name="adj1" fmla="val 50000"/>
                            <a:gd name="adj2" fmla="val 50007"/>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38" name="组合 37"/>
                        <a:cNvGrpSpPr/>
                      </a:nvGrpSpPr>
                      <a:grpSpPr bwMode="auto">
                        <a:xfrm>
                          <a:off x="4429095" y="2214571"/>
                          <a:ext cx="571500" cy="1857375"/>
                          <a:chOff x="3000364" y="2214554"/>
                          <a:chExt cx="571504" cy="1857388"/>
                        </a:xfrm>
                      </a:grpSpPr>
                      <a:sp>
                        <a:nvSpPr>
                          <a:cNvPr id="61" name="圆角矩形 38"/>
                          <a:cNvSpPr>
                            <a:spLocks noChangeArrowheads="1"/>
                          </a:cNvSpPr>
                        </a:nvSpPr>
                        <a:spPr bwMode="auto">
                          <a:xfrm>
                            <a:off x="3000364" y="2214554"/>
                            <a:ext cx="428628" cy="1857388"/>
                          </a:xfrm>
                          <a:prstGeom prst="roundRect">
                            <a:avLst>
                              <a:gd name="adj" fmla="val 16667"/>
                            </a:avLst>
                          </a:prstGeom>
                          <a:solidFill>
                            <a:schemeClr val="bg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62" name="TextBox 39"/>
                          <a:cNvSpPr txBox="1">
                            <a:spLocks noChangeArrowheads="1"/>
                          </a:cNvSpPr>
                        </a:nvSpPr>
                        <a:spPr bwMode="auto">
                          <a:xfrm>
                            <a:off x="3000364" y="2285992"/>
                            <a:ext cx="571504" cy="1754326"/>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dirty="0" smtClean="0"/>
                                <a:t>课后作业反馈</a:t>
                              </a:r>
                              <a:endParaRPr lang="zh-CN" altLang="en-US" b="1" dirty="0"/>
                            </a:p>
                          </a:txBody>
                          <a:useSpRect/>
                        </a:txSp>
                      </a:sp>
                    </a:grpSp>
                    <a:sp>
                      <a:nvSpPr>
                        <a:cNvPr id="63" name="下箭头 40"/>
                        <a:cNvSpPr>
                          <a:spLocks noChangeArrowheads="1"/>
                        </a:cNvSpPr>
                      </a:nvSpPr>
                      <a:spPr bwMode="auto">
                        <a:xfrm>
                          <a:off x="4571970" y="4143383"/>
                          <a:ext cx="142875" cy="403847"/>
                        </a:xfrm>
                        <a:prstGeom prst="downArrow">
                          <a:avLst>
                            <a:gd name="adj1" fmla="val 50000"/>
                            <a:gd name="adj2" fmla="val 50002"/>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64" name="下箭头 49"/>
                        <a:cNvSpPr>
                          <a:spLocks noChangeArrowheads="1"/>
                        </a:cNvSpPr>
                      </a:nvSpPr>
                      <a:spPr bwMode="auto">
                        <a:xfrm rot="10800000">
                          <a:off x="3929033" y="2286008"/>
                          <a:ext cx="142875" cy="2286000"/>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65" name="下箭头 53"/>
                        <a:cNvSpPr>
                          <a:spLocks noChangeArrowheads="1"/>
                        </a:cNvSpPr>
                      </a:nvSpPr>
                      <a:spPr bwMode="auto">
                        <a:xfrm rot="10800000">
                          <a:off x="3929032" y="857258"/>
                          <a:ext cx="142875" cy="714375"/>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42" name="组合 18"/>
                        <a:cNvGrpSpPr/>
                      </a:nvGrpSpPr>
                      <a:grpSpPr bwMode="auto">
                        <a:xfrm>
                          <a:off x="7715222" y="1571606"/>
                          <a:ext cx="785813" cy="646327"/>
                          <a:chOff x="2143108" y="1571612"/>
                          <a:chExt cx="785818" cy="646331"/>
                        </a:xfrm>
                      </a:grpSpPr>
                      <a:sp>
                        <a:nvSpPr>
                          <a:cNvPr id="68" name="圆角矩形 19"/>
                          <a:cNvSpPr>
                            <a:spLocks noChangeArrowheads="1"/>
                          </a:cNvSpPr>
                        </a:nvSpPr>
                        <a:spPr bwMode="auto">
                          <a:xfrm>
                            <a:off x="2143108" y="1571612"/>
                            <a:ext cx="714380" cy="642942"/>
                          </a:xfrm>
                          <a:prstGeom prst="roundRect">
                            <a:avLst>
                              <a:gd name="adj" fmla="val 16667"/>
                            </a:avLst>
                          </a:prstGeom>
                          <a:solidFill>
                            <a:srgbClr val="FFFFFF"/>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69" name="TextBox 20"/>
                          <a:cNvSpPr txBox="1">
                            <a:spLocks noChangeArrowheads="1"/>
                          </a:cNvSpPr>
                        </a:nvSpPr>
                        <a:spPr bwMode="auto">
                          <a:xfrm>
                            <a:off x="2143108" y="1571612"/>
                            <a:ext cx="785818" cy="646331"/>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dirty="0"/>
                                <a:t>期末考试</a:t>
                              </a:r>
                              <a:endParaRPr lang="zh-CN" altLang="en-US" b="1" dirty="0"/>
                            </a:p>
                          </a:txBody>
                          <a:useSpRect/>
                        </a:txSp>
                      </a:sp>
                    </a:grpSp>
                    <a:sp>
                      <a:nvSpPr>
                        <a:cNvPr id="70" name="右箭头 41"/>
                        <a:cNvSpPr>
                          <a:spLocks noChangeArrowheads="1"/>
                        </a:cNvSpPr>
                      </a:nvSpPr>
                      <a:spPr bwMode="auto">
                        <a:xfrm>
                          <a:off x="8429595" y="1785919"/>
                          <a:ext cx="642937" cy="142875"/>
                        </a:xfrm>
                        <a:prstGeom prst="right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71" name="下箭头 42"/>
                        <a:cNvSpPr>
                          <a:spLocks noChangeArrowheads="1"/>
                        </a:cNvSpPr>
                      </a:nvSpPr>
                      <a:spPr bwMode="auto">
                        <a:xfrm>
                          <a:off x="8643908" y="785794"/>
                          <a:ext cx="142875" cy="1357313"/>
                        </a:xfrm>
                        <a:prstGeom prst="downArrow">
                          <a:avLst>
                            <a:gd name="adj1" fmla="val 50000"/>
                            <a:gd name="adj2" fmla="val 50007"/>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a:nvGrpSpPr>
                        <a:cNvPr id="45" name="组合 43"/>
                        <a:cNvGrpSpPr/>
                      </a:nvGrpSpPr>
                      <a:grpSpPr bwMode="auto">
                        <a:xfrm>
                          <a:off x="8501033" y="2214544"/>
                          <a:ext cx="571500" cy="1857375"/>
                          <a:chOff x="3000364" y="2214554"/>
                          <a:chExt cx="571504" cy="1857388"/>
                        </a:xfrm>
                      </a:grpSpPr>
                      <a:sp>
                        <a:nvSpPr>
                          <a:cNvPr id="73" name="圆角矩形 44"/>
                          <a:cNvSpPr>
                            <a:spLocks noChangeArrowheads="1"/>
                          </a:cNvSpPr>
                        </a:nvSpPr>
                        <a:spPr bwMode="auto">
                          <a:xfrm>
                            <a:off x="3000364" y="2214554"/>
                            <a:ext cx="428628" cy="1857388"/>
                          </a:xfrm>
                          <a:prstGeom prst="roundRect">
                            <a:avLst>
                              <a:gd name="adj" fmla="val 16667"/>
                            </a:avLst>
                          </a:prstGeom>
                          <a:solidFill>
                            <a:schemeClr val="bg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74" name="TextBox 45"/>
                          <a:cNvSpPr txBox="1">
                            <a:spLocks noChangeArrowheads="1"/>
                          </a:cNvSpPr>
                        </a:nvSpPr>
                        <a:spPr bwMode="auto">
                          <a:xfrm>
                            <a:off x="3000364" y="2285992"/>
                            <a:ext cx="571504" cy="1754326"/>
                          </a:xfrm>
                          <a:prstGeom prst="rect">
                            <a:avLst/>
                          </a:prstGeom>
                          <a:noFill/>
                          <a:ln w="9525">
                            <a:noFill/>
                            <a:miter lim="800000"/>
                          </a:ln>
                        </a:spPr>
                        <a:txSp>
                          <a:txBody>
                            <a:bodyPr>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r>
                                <a:rPr lang="zh-CN" altLang="en-US" b="1" dirty="0"/>
                                <a:t>期末考试反馈</a:t>
                              </a:r>
                              <a:endParaRPr lang="zh-CN" altLang="en-US" b="1" dirty="0"/>
                            </a:p>
                          </a:txBody>
                          <a:useSpRect/>
                        </a:txSp>
                      </a:sp>
                    </a:grpSp>
                    <a:sp>
                      <a:nvSpPr>
                        <a:cNvPr id="75" name="下箭头 46"/>
                        <a:cNvSpPr>
                          <a:spLocks noChangeArrowheads="1"/>
                        </a:cNvSpPr>
                      </a:nvSpPr>
                      <a:spPr bwMode="auto">
                        <a:xfrm>
                          <a:off x="8643908" y="4143356"/>
                          <a:ext cx="142875" cy="403847"/>
                        </a:xfrm>
                        <a:prstGeom prst="downArrow">
                          <a:avLst>
                            <a:gd name="adj1" fmla="val 50000"/>
                            <a:gd name="adj2" fmla="val 50002"/>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76" name="下箭头 50"/>
                        <a:cNvSpPr>
                          <a:spLocks noChangeArrowheads="1"/>
                        </a:cNvSpPr>
                      </a:nvSpPr>
                      <a:spPr bwMode="auto">
                        <a:xfrm rot="10800000">
                          <a:off x="8000971" y="2285981"/>
                          <a:ext cx="142875" cy="2286000"/>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sp>
                      <a:nvSpPr>
                        <a:cNvPr id="77" name="下箭头 54"/>
                        <a:cNvSpPr>
                          <a:spLocks noChangeArrowheads="1"/>
                        </a:cNvSpPr>
                      </a:nvSpPr>
                      <a:spPr bwMode="auto">
                        <a:xfrm rot="10800000">
                          <a:off x="8000970" y="857232"/>
                          <a:ext cx="142875" cy="714375"/>
                        </a:xfrm>
                        <a:prstGeom prst="downArrow">
                          <a:avLst>
                            <a:gd name="adj1" fmla="val 50000"/>
                            <a:gd name="adj2" fmla="val 50000"/>
                          </a:avLst>
                        </a:prstGeom>
                        <a:solidFill>
                          <a:schemeClr val="accent1"/>
                        </a:solidFill>
                        <a:ln w="31750" algn="ctr">
                          <a:solidFill>
                            <a:schemeClr val="tx1"/>
                          </a:solidFill>
                          <a:round/>
                        </a:ln>
                      </a:spPr>
                      <a:txSp>
                        <a:txBody>
                          <a:bodyPr lIns="90000" tIns="46800" rIns="90000" bIns="46800">
                            <a:spAutoFit/>
                          </a:bodyPr>
                          <a:lstStyle>
                            <a:defPPr>
                              <a:defRPr lang="zh-CN"/>
                            </a:defPPr>
                            <a:lvl1pPr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1pPr>
                            <a:lvl2pPr marL="4572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2pPr>
                            <a:lvl3pPr marL="9144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3pPr>
                            <a:lvl4pPr marL="13716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4pPr>
                            <a:lvl5pPr marL="1828800" algn="l" rtl="0" fontAlgn="base">
                              <a:spcBef>
                                <a:spcPct val="0"/>
                              </a:spcBef>
                              <a:spcAft>
                                <a:spcPct val="0"/>
                              </a:spcAft>
                              <a:defRPr kern="1200">
                                <a:solidFill>
                                  <a:schemeClr val="tx1"/>
                                </a:solidFill>
                                <a:latin typeface="Tahoma" panose="020B0604030504040204" pitchFamily="34" charset="0"/>
                                <a:ea typeface="宋体" panose="02010600030101010101" charset="-122"/>
                                <a:cs typeface="+mn-cs"/>
                              </a:defRPr>
                            </a:lvl5pPr>
                            <a:lvl6pPr marL="2286000" algn="l" defTabSz="914400" rtl="0" eaLnBrk="1" latinLnBrk="0" hangingPunct="1">
                              <a:defRPr kern="1200">
                                <a:solidFill>
                                  <a:schemeClr val="tx1"/>
                                </a:solidFill>
                                <a:latin typeface="Tahoma" panose="020B0604030504040204" pitchFamily="34" charset="0"/>
                                <a:ea typeface="宋体" panose="02010600030101010101" charset="-122"/>
                                <a:cs typeface="+mn-cs"/>
                              </a:defRPr>
                            </a:lvl6pPr>
                            <a:lvl7pPr marL="2743200" algn="l" defTabSz="914400" rtl="0" eaLnBrk="1" latinLnBrk="0" hangingPunct="1">
                              <a:defRPr kern="1200">
                                <a:solidFill>
                                  <a:schemeClr val="tx1"/>
                                </a:solidFill>
                                <a:latin typeface="Tahoma" panose="020B0604030504040204" pitchFamily="34" charset="0"/>
                                <a:ea typeface="宋体" panose="02010600030101010101" charset="-122"/>
                                <a:cs typeface="+mn-cs"/>
                              </a:defRPr>
                            </a:lvl7pPr>
                            <a:lvl8pPr marL="3200400" algn="l" defTabSz="914400" rtl="0" eaLnBrk="1" latinLnBrk="0" hangingPunct="1">
                              <a:defRPr kern="1200">
                                <a:solidFill>
                                  <a:schemeClr val="tx1"/>
                                </a:solidFill>
                                <a:latin typeface="Tahoma" panose="020B0604030504040204" pitchFamily="34" charset="0"/>
                                <a:ea typeface="宋体" panose="02010600030101010101" charset="-122"/>
                                <a:cs typeface="+mn-cs"/>
                              </a:defRPr>
                            </a:lvl8pPr>
                            <a:lvl9pPr marL="3657600" algn="l" defTabSz="914400" rtl="0" eaLnBrk="1" latinLnBrk="0" hangingPunct="1">
                              <a:defRPr kern="1200">
                                <a:solidFill>
                                  <a:schemeClr val="tx1"/>
                                </a:solidFill>
                                <a:latin typeface="Tahoma" panose="020B0604030504040204" pitchFamily="34" charset="0"/>
                                <a:ea typeface="宋体" panose="02010600030101010101" charset="-122"/>
                                <a:cs typeface="+mn-cs"/>
                              </a:defRPr>
                            </a:lvl9pPr>
                          </a:lstStyle>
                          <a:p>
                            <a:endParaRPr lang="zh-CN" altLang="en-US"/>
                          </a:p>
                        </a:txBody>
                        <a:useSpRect/>
                      </a:txSp>
                    </a:sp>
                  </a:grpSp>
                </lc:lockedCanvas>
              </a:graphicData>
            </a:graphic>
          </wp:inline>
        </w:drawing>
      </w:r>
    </w:p>
    <w:p>
      <w:pPr>
        <w:keepNext w:val="0"/>
        <w:keepLines w:val="0"/>
        <w:pageBreakBefore w:val="0"/>
        <w:widowControl/>
        <w:numPr>
          <w:ilvl w:val="0"/>
          <w:numId w:val="0"/>
        </w:numPr>
        <w:suppressLineNumbers w:val="0"/>
        <w:kinsoku/>
        <w:wordWrap/>
        <w:overflowPunct/>
        <w:topLinePunct w:val="0"/>
        <w:bidi w:val="0"/>
        <w:snapToGrid/>
        <w:spacing w:line="560" w:lineRule="exact"/>
        <w:ind w:firstLine="560" w:firstLineChars="200"/>
        <w:jc w:val="center"/>
        <w:textAlignment w:val="auto"/>
        <w:rPr>
          <w:rFonts w:hint="default" w:asciiTheme="minorEastAsia" w:hAnsiTheme="minorEastAsia" w:cstheme="minorEastAsia"/>
          <w:color w:val="000000"/>
          <w:kern w:val="0"/>
          <w:sz w:val="28"/>
          <w:szCs w:val="28"/>
          <w:lang w:val="en-US" w:eastAsia="zh-CN" w:bidi="ar"/>
        </w:rPr>
      </w:pPr>
      <w:r>
        <w:rPr>
          <w:rFonts w:hint="default" w:asciiTheme="minorEastAsia" w:hAnsiTheme="minorEastAsia" w:cstheme="minorEastAsia"/>
          <w:color w:val="000000"/>
          <w:kern w:val="0"/>
          <w:sz w:val="28"/>
          <w:szCs w:val="28"/>
          <w:lang w:val="en-US" w:eastAsia="zh-CN" w:bidi="ar"/>
        </w:rPr>
        <w:t>图2 学生课程形成性评价</w:t>
      </w:r>
    </w:p>
    <w:p>
      <w:pPr>
        <w:keepNext w:val="0"/>
        <w:keepLines w:val="0"/>
        <w:pageBreakBefore w:val="0"/>
        <w:widowControl/>
        <w:numPr>
          <w:ilvl w:val="0"/>
          <w:numId w:val="0"/>
        </w:numPr>
        <w:suppressLineNumbers w:val="0"/>
        <w:kinsoku/>
        <w:wordWrap/>
        <w:overflowPunct/>
        <w:topLinePunct w:val="0"/>
        <w:bidi w:val="0"/>
        <w:snapToGrid/>
        <w:spacing w:line="560" w:lineRule="exact"/>
        <w:ind w:firstLine="560" w:firstLineChars="200"/>
        <w:jc w:val="left"/>
        <w:textAlignment w:val="auto"/>
        <w:rPr>
          <w:rFonts w:hint="default" w:asciiTheme="minorEastAsia" w:hAnsiTheme="minorEastAsia" w:cstheme="minorEastAsia"/>
          <w:color w:val="000000"/>
          <w:kern w:val="0"/>
          <w:sz w:val="28"/>
          <w:szCs w:val="28"/>
          <w:lang w:val="en-US" w:eastAsia="zh-CN" w:bidi="ar"/>
        </w:rPr>
      </w:pPr>
      <w:r>
        <w:rPr>
          <w:rFonts w:hint="default" w:asciiTheme="minorEastAsia" w:hAnsiTheme="minorEastAsia" w:cstheme="minorEastAsia"/>
          <w:color w:val="000000"/>
          <w:kern w:val="0"/>
          <w:sz w:val="28"/>
          <w:szCs w:val="28"/>
          <w:lang w:val="en-US" w:eastAsia="zh-CN" w:bidi="ar"/>
        </w:rPr>
        <w:t>（</w:t>
      </w:r>
      <w:r>
        <w:rPr>
          <w:rFonts w:hint="eastAsia" w:asciiTheme="minorEastAsia" w:hAnsiTheme="minorEastAsia" w:cstheme="minorEastAsia"/>
          <w:color w:val="000000"/>
          <w:kern w:val="0"/>
          <w:sz w:val="28"/>
          <w:szCs w:val="28"/>
          <w:lang w:val="en-US" w:eastAsia="zh-CN" w:bidi="ar"/>
        </w:rPr>
        <w:t>5</w:t>
      </w:r>
      <w:r>
        <w:rPr>
          <w:rFonts w:hint="default" w:asciiTheme="minorEastAsia" w:hAnsiTheme="minorEastAsia" w:cstheme="minorEastAsia"/>
          <w:color w:val="000000"/>
          <w:kern w:val="0"/>
          <w:sz w:val="28"/>
          <w:szCs w:val="28"/>
          <w:lang w:val="en-US" w:eastAsia="zh-CN" w:bidi="ar"/>
        </w:rPr>
        <w:t>）</w:t>
      </w:r>
      <w:r>
        <w:rPr>
          <w:rFonts w:hint="eastAsia" w:asciiTheme="minorEastAsia" w:hAnsiTheme="minorEastAsia" w:cstheme="minorEastAsia"/>
          <w:color w:val="000000"/>
          <w:kern w:val="0"/>
          <w:sz w:val="28"/>
          <w:szCs w:val="28"/>
          <w:lang w:val="en-US" w:eastAsia="zh-CN" w:bidi="ar"/>
        </w:rPr>
        <w:t>制定了</w:t>
      </w:r>
      <w:r>
        <w:rPr>
          <w:rFonts w:hint="default" w:asciiTheme="minorEastAsia" w:hAnsiTheme="minorEastAsia" w:cstheme="minorEastAsia"/>
          <w:color w:val="000000"/>
          <w:kern w:val="0"/>
          <w:sz w:val="28"/>
          <w:szCs w:val="28"/>
          <w:lang w:val="en-US" w:eastAsia="zh-CN" w:bidi="ar"/>
        </w:rPr>
        <w:t>课程预警与帮扶措施</w:t>
      </w:r>
      <w:r>
        <w:rPr>
          <w:rFonts w:hint="eastAsia" w:asciiTheme="minorEastAsia" w:hAnsiTheme="minorEastAsia" w:cstheme="minorEastAsia"/>
          <w:color w:val="000000"/>
          <w:kern w:val="0"/>
          <w:sz w:val="28"/>
          <w:szCs w:val="28"/>
          <w:lang w:val="en-US" w:eastAsia="zh-CN" w:bidi="ar"/>
        </w:rPr>
        <w:t>，</w:t>
      </w:r>
      <w:r>
        <w:rPr>
          <w:rFonts w:hint="default" w:asciiTheme="minorEastAsia" w:hAnsiTheme="minorEastAsia" w:cstheme="minorEastAsia"/>
          <w:color w:val="000000"/>
          <w:kern w:val="0"/>
          <w:sz w:val="28"/>
          <w:szCs w:val="28"/>
          <w:lang w:val="en-US" w:eastAsia="zh-CN" w:bidi="ar"/>
        </w:rPr>
        <w:t>如表1</w:t>
      </w:r>
      <w:r>
        <w:rPr>
          <w:rFonts w:hint="eastAsia" w:asciiTheme="minorEastAsia" w:hAnsiTheme="minorEastAsia" w:cstheme="minorEastAsia"/>
          <w:color w:val="000000"/>
          <w:kern w:val="0"/>
          <w:sz w:val="28"/>
          <w:szCs w:val="28"/>
          <w:lang w:val="en-US" w:eastAsia="zh-CN" w:bidi="ar"/>
        </w:rPr>
        <w:t>所示</w:t>
      </w:r>
      <w:r>
        <w:rPr>
          <w:rFonts w:hint="default" w:asciiTheme="minorEastAsia" w:hAnsiTheme="minorEastAsia" w:cstheme="minorEastAsia"/>
          <w:color w:val="000000"/>
          <w:kern w:val="0"/>
          <w:sz w:val="28"/>
          <w:szCs w:val="28"/>
          <w:lang w:val="en-US" w:eastAsia="zh-CN" w:bidi="ar"/>
        </w:rPr>
        <w:t>。对学习退步较大的学生进行预警，对学习困难的学生进行帮扶，尽量让每个学生达成课程目标。</w:t>
      </w:r>
    </w:p>
    <w:p>
      <w:pPr>
        <w:keepNext w:val="0"/>
        <w:keepLines w:val="0"/>
        <w:pageBreakBefore w:val="0"/>
        <w:widowControl/>
        <w:numPr>
          <w:ilvl w:val="0"/>
          <w:numId w:val="0"/>
        </w:numPr>
        <w:suppressLineNumbers w:val="0"/>
        <w:kinsoku/>
        <w:wordWrap/>
        <w:overflowPunct/>
        <w:topLinePunct w:val="0"/>
        <w:bidi w:val="0"/>
        <w:snapToGrid/>
        <w:spacing w:line="560" w:lineRule="exact"/>
        <w:ind w:firstLine="560" w:firstLineChars="200"/>
        <w:jc w:val="center"/>
        <w:textAlignment w:val="auto"/>
        <w:rPr>
          <w:rFonts w:hint="default" w:asciiTheme="minorEastAsia" w:hAnsiTheme="minorEastAsia" w:cstheme="minorEastAsia"/>
          <w:color w:val="000000"/>
          <w:kern w:val="0"/>
          <w:sz w:val="28"/>
          <w:szCs w:val="28"/>
          <w:lang w:val="en-US" w:eastAsia="zh-CN" w:bidi="ar"/>
        </w:rPr>
      </w:pPr>
      <w:r>
        <w:rPr>
          <w:rFonts w:hint="default" w:asciiTheme="minorEastAsia" w:hAnsiTheme="minorEastAsia" w:cstheme="minorEastAsia"/>
          <w:color w:val="000000"/>
          <w:kern w:val="0"/>
          <w:sz w:val="28"/>
          <w:szCs w:val="28"/>
          <w:lang w:val="en-US" w:eastAsia="zh-CN" w:bidi="ar"/>
        </w:rPr>
        <w:t>表1  本专业对学生的帮扶措施</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4"/>
        <w:gridCol w:w="6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rPr>
            </w:pPr>
            <w:r>
              <w:rPr>
                <w:rFonts w:hint="default" w:ascii="Times New Roman" w:hAnsi="Times New Roman" w:cs="Times New Roman"/>
                <w:b/>
              </w:rPr>
              <w:t>帮扶对象</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rPr>
            </w:pPr>
            <w:r>
              <w:rPr>
                <w:rFonts w:hint="default" w:ascii="Times New Roman" w:hAnsi="Times New Roman" w:cs="Times New Roman"/>
                <w:b/>
              </w:rPr>
              <w:t>专业教师的帮扶措施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学习基础薄弱的学生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同学间互相帮助，帮助同学夯实基础，建立信心。教师针对该类学生个别关注和指导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学习方法上有困难的学生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教师通过加强辅导答疑、课后单独辅导等方式及时解决学生学习过程中的困难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学习缺乏积极性和约束能力不强的学生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教师和班主任联系班上学习成绩好的学生干部或学生党员对其进行一帮一朋辈辅导，督促他们按时上课、按时完成教师布置的作业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学习目的不明确、态度不端正的学生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教师与二级学院领导、辅导员、班主任一起教育引导，明确学习目的、制定学习计划、增强学习的动力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有生理、心理障碍或其他问题引起学业困难的学生</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教师与二级学院心理教师联合介入，提出针对性的辅导方案，帮助学生增强学习信心。而对于屡教不改，已经达到劝退或处于劝退边缘的学生，则通知家长来校，通过与家长沟通、交流，共同制定帮助学生的措施，督促家长积极配合学校加强对学生的监管力度</w:t>
            </w:r>
          </w:p>
        </w:tc>
      </w:tr>
    </w:tbl>
    <w:p>
      <w:pPr>
        <w:keepNext w:val="0"/>
        <w:keepLines w:val="0"/>
        <w:pageBreakBefore w:val="0"/>
        <w:widowControl/>
        <w:numPr>
          <w:ilvl w:val="0"/>
          <w:numId w:val="0"/>
        </w:numPr>
        <w:suppressLineNumbers w:val="0"/>
        <w:kinsoku/>
        <w:wordWrap/>
        <w:overflowPunct/>
        <w:topLinePunct w:val="0"/>
        <w:bidi w:val="0"/>
        <w:snapToGrid/>
        <w:spacing w:line="560" w:lineRule="exact"/>
        <w:ind w:firstLine="560" w:firstLineChars="200"/>
        <w:jc w:val="left"/>
        <w:textAlignment w:val="auto"/>
        <w:rPr>
          <w:rFonts w:hint="eastAsia" w:asciiTheme="minorEastAsia" w:hAnsi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6）制定了持续改进机制，本专业基于教学过程质量监控、毕业生跟踪反馈和社会评价、培养目标和毕业要求达成的校内外评价等机制，建立了基于四个闭环（课内循环、课程循环、专业循环和外部循环）的评价结果进行持续改进的机制。如图3所示。《电机学》课程根据课程目标达成度情况、教学过程质量监控评价结果、学生反馈等对课程进行了持续改进，如表2所示。有效促进了教学质量的提高，确保课程目标的达成。</w:t>
      </w:r>
    </w:p>
    <w:p>
      <w:pPr>
        <w:pStyle w:val="6"/>
        <w:snapToGrid w:val="0"/>
        <w:spacing w:line="240" w:lineRule="auto"/>
        <w:ind w:firstLine="0" w:firstLineChars="0"/>
        <w:rPr>
          <w:rFonts w:ascii="Times New Roman" w:hAnsi="Times New Roman" w:eastAsia="楷体"/>
          <w:sz w:val="21"/>
          <w:szCs w:val="21"/>
        </w:rPr>
      </w:pPr>
      <w:r>
        <w:rPr>
          <w:rFonts w:ascii="Times New Roman" w:hAnsi="Times New Roman"/>
        </w:rPr>
        <w:object>
          <v:shape id="_x0000_i1025" o:spt="75" type="#_x0000_t75" style="height:156.85pt;width:414.4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pStyle w:val="6"/>
        <w:snapToGrid w:val="0"/>
        <w:spacing w:line="240" w:lineRule="auto"/>
        <w:ind w:firstLine="398"/>
        <w:jc w:val="center"/>
        <w:rPr>
          <w:rFonts w:hint="default" w:ascii="Times New Roman" w:hAnsi="Times New Roman" w:eastAsia="宋体" w:cs="Times New Roman"/>
          <w:spacing w:val="0"/>
          <w:kern w:val="2"/>
          <w:sz w:val="24"/>
          <w:szCs w:val="24"/>
          <w:lang w:val="en-US" w:eastAsia="zh-CN" w:bidi="ar-SA"/>
        </w:rPr>
      </w:pPr>
      <w:r>
        <w:rPr>
          <w:rFonts w:hint="default" w:ascii="Times New Roman" w:hAnsi="Times New Roman" w:eastAsia="宋体" w:cs="Times New Roman"/>
          <w:spacing w:val="0"/>
          <w:kern w:val="2"/>
          <w:sz w:val="24"/>
          <w:szCs w:val="24"/>
          <w:lang w:val="en-US" w:eastAsia="zh-CN" w:bidi="ar-SA"/>
        </w:rPr>
        <w:t>图3 本专业的持续改进机制</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spacing w:val="0"/>
          <w:kern w:val="2"/>
          <w:sz w:val="24"/>
          <w:szCs w:val="24"/>
          <w:lang w:val="en-US" w:eastAsia="zh-CN" w:bidi="ar-SA"/>
        </w:rPr>
      </w:pPr>
      <w:r>
        <w:rPr>
          <w:rFonts w:hint="default" w:ascii="Times New Roman" w:hAnsi="Times New Roman" w:eastAsia="宋体" w:cs="Times New Roman"/>
          <w:spacing w:val="0"/>
          <w:kern w:val="2"/>
          <w:sz w:val="24"/>
          <w:szCs w:val="24"/>
          <w:lang w:val="en-US" w:eastAsia="zh-CN" w:bidi="ar-SA"/>
        </w:rPr>
        <w:t>表</w:t>
      </w:r>
      <w:r>
        <w:rPr>
          <w:rFonts w:hint="eastAsia" w:ascii="Times New Roman" w:hAnsi="Times New Roman" w:eastAsia="宋体" w:cs="Times New Roman"/>
          <w:spacing w:val="0"/>
          <w:kern w:val="2"/>
          <w:sz w:val="24"/>
          <w:szCs w:val="24"/>
          <w:lang w:val="en-US" w:eastAsia="zh-CN" w:bidi="ar-SA"/>
        </w:rPr>
        <w:t>2</w:t>
      </w:r>
      <w:r>
        <w:rPr>
          <w:rFonts w:hint="default" w:ascii="Times New Roman" w:hAnsi="Times New Roman" w:eastAsia="宋体" w:cs="Times New Roman"/>
          <w:spacing w:val="0"/>
          <w:kern w:val="2"/>
          <w:sz w:val="24"/>
          <w:szCs w:val="24"/>
          <w:lang w:val="en-US" w:eastAsia="zh-CN" w:bidi="ar-SA"/>
        </w:rPr>
        <w:t xml:space="preserve"> </w:t>
      </w:r>
      <w:r>
        <w:rPr>
          <w:rFonts w:hint="eastAsia" w:ascii="Times New Roman" w:hAnsi="Times New Roman" w:eastAsia="宋体" w:cs="Times New Roman"/>
          <w:spacing w:val="0"/>
          <w:kern w:val="2"/>
          <w:sz w:val="24"/>
          <w:szCs w:val="24"/>
          <w:lang w:val="en-US" w:eastAsia="zh-CN" w:bidi="ar-SA"/>
        </w:rPr>
        <w:t>《电机学》</w:t>
      </w:r>
      <w:r>
        <w:rPr>
          <w:rFonts w:hint="default" w:ascii="Times New Roman" w:hAnsi="Times New Roman" w:eastAsia="宋体" w:cs="Times New Roman"/>
          <w:spacing w:val="0"/>
          <w:kern w:val="2"/>
          <w:sz w:val="24"/>
          <w:szCs w:val="24"/>
          <w:lang w:val="en-US" w:eastAsia="zh-CN" w:bidi="ar-SA"/>
        </w:rPr>
        <w:t>课程形成性评价的持续改进</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2476"/>
        <w:gridCol w:w="2620"/>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24" w:type="pct"/>
          </w:tcPr>
          <w:p>
            <w:pPr>
              <w:adjustRightInd w:val="0"/>
              <w:snapToGrid w:val="0"/>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课程</w:t>
            </w:r>
          </w:p>
        </w:tc>
        <w:tc>
          <w:tcPr>
            <w:tcW w:w="1453" w:type="pct"/>
          </w:tcPr>
          <w:p>
            <w:pPr>
              <w:adjustRightInd w:val="0"/>
              <w:snapToGrid w:val="0"/>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采纳的建议</w:t>
            </w:r>
          </w:p>
        </w:tc>
        <w:tc>
          <w:tcPr>
            <w:tcW w:w="1537" w:type="pct"/>
          </w:tcPr>
          <w:p>
            <w:pPr>
              <w:adjustRightInd w:val="0"/>
              <w:snapToGrid w:val="0"/>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考核方式变化</w:t>
            </w:r>
          </w:p>
        </w:tc>
        <w:tc>
          <w:tcPr>
            <w:tcW w:w="1586" w:type="pct"/>
          </w:tcPr>
          <w:p>
            <w:pPr>
              <w:adjustRightInd w:val="0"/>
              <w:snapToGrid w:val="0"/>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电机学</w:t>
            </w:r>
          </w:p>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(201</w:t>
            </w:r>
            <w:r>
              <w:rPr>
                <w:rFonts w:hint="default" w:ascii="Times New Roman" w:hAnsi="Times New Roman" w:eastAsia="宋体" w:cs="Times New Roman"/>
                <w:kern w:val="0"/>
                <w:sz w:val="21"/>
                <w:szCs w:val="21"/>
                <w:lang w:val="en-US" w:eastAsia="zh-CN"/>
              </w:rPr>
              <w:t>8</w:t>
            </w:r>
            <w:r>
              <w:rPr>
                <w:rFonts w:hint="default" w:ascii="Times New Roman" w:hAnsi="Times New Roman" w:eastAsia="宋体" w:cs="Times New Roman"/>
                <w:kern w:val="0"/>
                <w:sz w:val="21"/>
                <w:szCs w:val="21"/>
              </w:rPr>
              <w:t>级-20</w:t>
            </w:r>
            <w:r>
              <w:rPr>
                <w:rFonts w:hint="default" w:ascii="Times New Roman" w:hAnsi="Times New Roman" w:eastAsia="宋体" w:cs="Times New Roman"/>
                <w:kern w:val="0"/>
                <w:sz w:val="21"/>
                <w:szCs w:val="21"/>
                <w:lang w:val="en-US" w:eastAsia="zh-CN"/>
              </w:rPr>
              <w:t>19</w:t>
            </w:r>
            <w:r>
              <w:rPr>
                <w:rFonts w:hint="default" w:ascii="Times New Roman" w:hAnsi="Times New Roman" w:eastAsia="宋体" w:cs="Times New Roman"/>
                <w:kern w:val="0"/>
                <w:sz w:val="21"/>
                <w:szCs w:val="21"/>
              </w:rPr>
              <w:t>级)</w:t>
            </w:r>
          </w:p>
        </w:tc>
        <w:tc>
          <w:tcPr>
            <w:tcW w:w="1453" w:type="pct"/>
            <w:vAlign w:val="center"/>
          </w:tcPr>
          <w:p>
            <w:pPr>
              <w:adjustRightInd w:val="0"/>
              <w:snapToGrid w:val="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1)邵院教通[2016]81号文件，出台关于推进课程考试非标准答案考试改革的通知。</w:t>
            </w:r>
          </w:p>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2)督导团意见指出电机学II课程考核方式单一，过程成绩构成不精细、个别评价依据待改进。</w:t>
            </w:r>
          </w:p>
        </w:tc>
        <w:tc>
          <w:tcPr>
            <w:tcW w:w="1537" w:type="pct"/>
            <w:vAlign w:val="center"/>
          </w:tcPr>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b/>
                <w:kern w:val="0"/>
                <w:sz w:val="21"/>
                <w:szCs w:val="21"/>
              </w:rPr>
              <w:t>改革前:</w:t>
            </w:r>
            <w:r>
              <w:rPr>
                <w:rFonts w:hint="default" w:ascii="Times New Roman" w:hAnsi="Times New Roman" w:eastAsia="宋体" w:cs="Times New Roman"/>
                <w:kern w:val="0"/>
                <w:sz w:val="21"/>
                <w:szCs w:val="21"/>
              </w:rPr>
              <w:t>课程成绩=课堂表现10%+课外作业10%+课程实验10%+期末考核70%</w:t>
            </w:r>
          </w:p>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b/>
                <w:kern w:val="0"/>
                <w:sz w:val="21"/>
                <w:szCs w:val="21"/>
              </w:rPr>
              <w:t>改革后：</w:t>
            </w:r>
            <w:r>
              <w:rPr>
                <w:rFonts w:hint="default" w:ascii="Times New Roman" w:hAnsi="Times New Roman" w:eastAsia="宋体" w:cs="Times New Roman"/>
                <w:kern w:val="0"/>
                <w:sz w:val="21"/>
                <w:szCs w:val="21"/>
              </w:rPr>
              <w:t>课程成绩=课堂表现10%+课外作业10%+课程论文30%+课程实验20%+单元测试30%</w:t>
            </w:r>
          </w:p>
        </w:tc>
        <w:tc>
          <w:tcPr>
            <w:tcW w:w="1586" w:type="pct"/>
            <w:vAlign w:val="center"/>
          </w:tcPr>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1）学生课程目标达成度大幅上升；主要原因是本次课程考核改革从重终结性评价变为重过程性评价，改革提高了学生的学习积极性；</w:t>
            </w:r>
          </w:p>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2）成绩构成多样化，有利于考核学生的综合能力。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电机学</w:t>
            </w:r>
          </w:p>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(20</w:t>
            </w:r>
            <w:r>
              <w:rPr>
                <w:rFonts w:hint="default" w:ascii="Times New Roman" w:hAnsi="Times New Roman" w:eastAsia="宋体" w:cs="Times New Roman"/>
                <w:kern w:val="0"/>
                <w:sz w:val="21"/>
                <w:szCs w:val="21"/>
                <w:lang w:val="en-US" w:eastAsia="zh-CN"/>
              </w:rPr>
              <w:t>20</w:t>
            </w:r>
            <w:r>
              <w:rPr>
                <w:rFonts w:hint="default" w:ascii="Times New Roman" w:hAnsi="Times New Roman" w:eastAsia="宋体" w:cs="Times New Roman"/>
                <w:kern w:val="0"/>
                <w:sz w:val="21"/>
                <w:szCs w:val="21"/>
              </w:rPr>
              <w:t>级-20</w:t>
            </w:r>
            <w:r>
              <w:rPr>
                <w:rFonts w:hint="default" w:ascii="Times New Roman" w:hAnsi="Times New Roman" w:eastAsia="宋体" w:cs="Times New Roman"/>
                <w:kern w:val="0"/>
                <w:sz w:val="21"/>
                <w:szCs w:val="21"/>
                <w:lang w:val="en-US" w:eastAsia="zh-CN"/>
              </w:rPr>
              <w:t>21</w:t>
            </w:r>
            <w:r>
              <w:rPr>
                <w:rFonts w:hint="default" w:ascii="Times New Roman" w:hAnsi="Times New Roman" w:eastAsia="宋体" w:cs="Times New Roman"/>
                <w:kern w:val="0"/>
                <w:sz w:val="21"/>
                <w:szCs w:val="21"/>
              </w:rPr>
              <w:t>级)</w:t>
            </w:r>
          </w:p>
        </w:tc>
        <w:tc>
          <w:tcPr>
            <w:tcW w:w="1453" w:type="pct"/>
            <w:vAlign w:val="center"/>
          </w:tcPr>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1)成绩区分度不够；</w:t>
            </w:r>
          </w:p>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2)教师在和学生结课后访谈中发现学生对基本记忆性知识掌握较差，并且对其相关基本理论知识认知不牢靠。</w:t>
            </w:r>
          </w:p>
        </w:tc>
        <w:tc>
          <w:tcPr>
            <w:tcW w:w="1537" w:type="pct"/>
            <w:vAlign w:val="center"/>
          </w:tcPr>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b/>
                <w:kern w:val="0"/>
                <w:sz w:val="21"/>
                <w:szCs w:val="21"/>
              </w:rPr>
              <w:t>改革前：</w:t>
            </w:r>
            <w:r>
              <w:rPr>
                <w:rFonts w:hint="default" w:ascii="Times New Roman" w:hAnsi="Times New Roman" w:eastAsia="宋体" w:cs="Times New Roman"/>
                <w:kern w:val="0"/>
                <w:sz w:val="21"/>
                <w:szCs w:val="21"/>
              </w:rPr>
              <w:t>课程成绩=课堂表现10%+课外作业10%+论文30%+实验20%+单元测试30%</w:t>
            </w:r>
          </w:p>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b/>
                <w:kern w:val="0"/>
                <w:sz w:val="21"/>
                <w:szCs w:val="21"/>
              </w:rPr>
              <w:t>改革后:</w:t>
            </w:r>
            <w:r>
              <w:rPr>
                <w:rFonts w:hint="default" w:ascii="Times New Roman" w:hAnsi="Times New Roman" w:eastAsia="宋体" w:cs="Times New Roman"/>
                <w:kern w:val="0"/>
                <w:sz w:val="21"/>
                <w:szCs w:val="21"/>
              </w:rPr>
              <w:t>课程成绩=课堂表现10%+课外作业10%+实验10%+研讨20%+期末考核50%</w:t>
            </w:r>
          </w:p>
        </w:tc>
        <w:tc>
          <w:tcPr>
            <w:tcW w:w="1586" w:type="pct"/>
            <w:vAlign w:val="center"/>
          </w:tcPr>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1）通过研讨学生对基本理论知识理解更加全面深入，学生灵活应用知识的能力增强；</w:t>
            </w:r>
          </w:p>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2）学生成绩区分度较好；，</w:t>
            </w:r>
          </w:p>
          <w:p>
            <w:pPr>
              <w:adjustRightInd w:val="0"/>
              <w:snapToGrid w:val="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3）学生分析变压器和同步电机运行中出现的问题和解决其问题的能力提升。</w:t>
            </w:r>
          </w:p>
        </w:tc>
      </w:tr>
    </w:tbl>
    <w:p>
      <w:pPr>
        <w:keepNext w:val="0"/>
        <w:keepLines w:val="0"/>
        <w:pageBreakBefore w:val="0"/>
        <w:widowControl/>
        <w:numPr>
          <w:ilvl w:val="0"/>
          <w:numId w:val="0"/>
        </w:numPr>
        <w:suppressLineNumbers w:val="0"/>
        <w:kinsoku/>
        <w:wordWrap/>
        <w:overflowPunct/>
        <w:topLinePunct w:val="0"/>
        <w:bidi w:val="0"/>
        <w:snapToGrid/>
        <w:spacing w:line="560" w:lineRule="exact"/>
        <w:ind w:firstLine="560" w:firstLineChars="200"/>
        <w:jc w:val="left"/>
        <w:textAlignment w:val="auto"/>
        <w:rPr>
          <w:rFonts w:hint="default" w:asciiTheme="minorEastAsia" w:hAnsiTheme="minorEastAsia" w:cstheme="minorEastAsia"/>
          <w:color w:val="000000"/>
          <w:kern w:val="0"/>
          <w:sz w:val="28"/>
          <w:szCs w:val="28"/>
          <w:lang w:val="en-US" w:eastAsia="zh-CN" w:bidi="ar"/>
        </w:rPr>
      </w:pPr>
      <w:r>
        <w:rPr>
          <w:rFonts w:hint="default" w:asciiTheme="minorEastAsia" w:hAnsiTheme="minorEastAsia" w:cstheme="minorEastAsia"/>
          <w:color w:val="000000"/>
          <w:kern w:val="0"/>
          <w:sz w:val="28"/>
          <w:szCs w:val="28"/>
          <w:lang w:val="en-US" w:eastAsia="zh-CN" w:bidi="ar"/>
        </w:rPr>
        <w:t>（</w:t>
      </w:r>
      <w:r>
        <w:rPr>
          <w:rFonts w:hint="eastAsia" w:asciiTheme="minorEastAsia" w:hAnsiTheme="minorEastAsia" w:cstheme="minorEastAsia"/>
          <w:color w:val="000000"/>
          <w:kern w:val="0"/>
          <w:sz w:val="28"/>
          <w:szCs w:val="28"/>
          <w:lang w:val="en-US" w:eastAsia="zh-CN" w:bidi="ar"/>
        </w:rPr>
        <w:t>7</w:t>
      </w:r>
      <w:r>
        <w:rPr>
          <w:rFonts w:hint="default" w:asciiTheme="minorEastAsia" w:hAnsiTheme="minorEastAsia" w:cstheme="minorEastAsia"/>
          <w:color w:val="000000"/>
          <w:kern w:val="0"/>
          <w:sz w:val="28"/>
          <w:szCs w:val="28"/>
          <w:lang w:val="en-US" w:eastAsia="zh-CN" w:bidi="ar"/>
        </w:rPr>
        <w:t>）</w:t>
      </w:r>
      <w:r>
        <w:rPr>
          <w:rFonts w:hint="eastAsia" w:asciiTheme="minorEastAsia" w:hAnsiTheme="minorEastAsia" w:cstheme="minorEastAsia"/>
          <w:color w:val="000000"/>
          <w:kern w:val="0"/>
          <w:sz w:val="28"/>
          <w:szCs w:val="28"/>
          <w:lang w:val="en-US" w:eastAsia="zh-CN" w:bidi="ar"/>
        </w:rPr>
        <w:t>制定了课程目标达成度评价机制，如图4所示。专业负责人对《电机学》课程的目标达成度情况进行分析，对评价任务、评价内容、评价方式、评价标准和评价结果等进行审核，并给出具体的审核意见。要求课程负责人在下一轮教学中按照拟定的持续改进措施开展教学活动，提高了教学质量，同时也一定程度提升学生课程目标达成度。</w:t>
      </w:r>
    </w:p>
    <w:p>
      <w:pPr>
        <w:jc w:val="center"/>
        <w:rPr>
          <w:rFonts w:eastAsia="楷体"/>
        </w:rPr>
      </w:pPr>
      <w:r>
        <w:object>
          <v:shape id="_x0000_i1026" o:spt="75" type="#_x0000_t75" style="height:235.3pt;width:354.45pt;" o:ole="t" filled="f" o:preferrelative="t" stroked="f" coordsize="21600,21600">
            <v:path/>
            <v:fill on="f" focussize="0,0"/>
            <v:stroke on="f" joinstyle="miter"/>
            <v:imagedata r:id="rId8" o:title=""/>
            <o:lock v:ext="edit" aspectratio="t"/>
            <w10:wrap type="none"/>
            <w10:anchorlock/>
          </v:shape>
          <o:OLEObject Type="Embed" ProgID="Visio.Drawing.15" ShapeID="_x0000_i1026" DrawAspect="Content" ObjectID="_1468075726" r:id="rId7">
            <o:LockedField>false</o:LockedField>
          </o:OLEObject>
        </w:objec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sz w:val="24"/>
          <w:lang w:val="en-US" w:eastAsia="zh-CN"/>
        </w:rPr>
      </w:pPr>
      <w:r>
        <w:rPr>
          <w:rFonts w:hint="default" w:asciiTheme="minorEastAsia" w:hAnsiTheme="minorEastAsia" w:cstheme="minorEastAsia"/>
          <w:color w:val="000000"/>
          <w:kern w:val="0"/>
          <w:sz w:val="28"/>
          <w:szCs w:val="28"/>
          <w:lang w:val="en-US" w:eastAsia="zh-CN" w:bidi="ar"/>
        </w:rPr>
        <w:t xml:space="preserve">图4 </w:t>
      </w:r>
      <w:r>
        <w:rPr>
          <w:rFonts w:hint="eastAsia" w:asciiTheme="minorEastAsia" w:hAnsiTheme="minorEastAsia" w:cstheme="minorEastAsia"/>
          <w:color w:val="000000"/>
          <w:kern w:val="0"/>
          <w:sz w:val="28"/>
          <w:szCs w:val="28"/>
          <w:lang w:val="en-US" w:eastAsia="zh-CN" w:bidi="ar"/>
        </w:rPr>
        <w:t>课程目标达成度评价机制</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leftChars="0"/>
        <w:jc w:val="left"/>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三、主要工作举措</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lang w:eastAsia="zh-CN"/>
        </w:rPr>
        <w:t>调研与交流，为《电机学》教学改革积累经验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2021年-2022年间，参加了两次</w:t>
      </w:r>
      <w:r>
        <w:rPr>
          <w:rFonts w:hint="eastAsia" w:asciiTheme="minorEastAsia" w:hAnsiTheme="minorEastAsia" w:eastAsiaTheme="minorEastAsia" w:cstheme="minorEastAsia"/>
          <w:sz w:val="28"/>
          <w:szCs w:val="28"/>
          <w:lang w:eastAsia="zh-CN"/>
        </w:rPr>
        <w:t>国内教学研讨会议，并要求了电机企业和同行教师召开了一次座谈会，结合社会对人才的需求、我校办学特点以及</w:t>
      </w:r>
      <w:r>
        <w:rPr>
          <w:rFonts w:hint="eastAsia" w:asciiTheme="minorEastAsia" w:hAnsiTheme="minorEastAsia" w:eastAsiaTheme="minorEastAsia" w:cstheme="minorEastAsia"/>
          <w:sz w:val="28"/>
          <w:szCs w:val="28"/>
        </w:rPr>
        <w:t>OBE教育理念</w:t>
      </w:r>
      <w:r>
        <w:rPr>
          <w:rFonts w:hint="eastAsia" w:asciiTheme="minorEastAsia" w:hAnsiTheme="minorEastAsia" w:eastAsiaTheme="minorEastAsia" w:cstheme="minorEastAsia"/>
          <w:sz w:val="28"/>
          <w:szCs w:val="28"/>
          <w:lang w:eastAsia="zh-CN"/>
        </w:rPr>
        <w:t>对电机学大纲修订、教学内容改革、评价体系等进行了深入探讨并进行总结，得出了宝贵经验和意见，为接下来课程改革做了较好的铺垫</w:t>
      </w:r>
      <w:r>
        <w:rPr>
          <w:rFonts w:hint="eastAsia" w:asciiTheme="minorEastAsia" w:hAnsiTheme="minorEastAsia" w:eastAsiaTheme="minorEastAsia" w:cstheme="minorEastAsia"/>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《电机学》</w:t>
      </w:r>
      <w:r>
        <w:rPr>
          <w:rFonts w:hint="eastAsia" w:asciiTheme="minorEastAsia" w:hAnsiTheme="minorEastAsia" w:eastAsiaTheme="minorEastAsia" w:cstheme="minorEastAsia"/>
          <w:b/>
          <w:bCs/>
          <w:sz w:val="28"/>
          <w:szCs w:val="28"/>
          <w:lang w:eastAsia="zh-CN"/>
        </w:rPr>
        <w:t>和</w:t>
      </w:r>
      <w:r>
        <w:rPr>
          <w:rFonts w:hint="eastAsia" w:asciiTheme="minorEastAsia" w:hAnsiTheme="minorEastAsia" w:eastAsiaTheme="minorEastAsia" w:cstheme="minorEastAsia"/>
          <w:b/>
          <w:bCs/>
          <w:sz w:val="28"/>
          <w:szCs w:val="28"/>
        </w:rPr>
        <w:t>《电机学</w:t>
      </w:r>
      <w:r>
        <w:rPr>
          <w:rFonts w:hint="eastAsia" w:asciiTheme="minorEastAsia" w:hAnsiTheme="minorEastAsia" w:eastAsiaTheme="minorEastAsia" w:cstheme="minorEastAsia"/>
          <w:b/>
          <w:bCs/>
          <w:sz w:val="28"/>
          <w:szCs w:val="28"/>
          <w:lang w:eastAsia="zh-CN"/>
        </w:rPr>
        <w:t>实验</w:t>
      </w:r>
      <w:r>
        <w:rPr>
          <w:rFonts w:hint="eastAsia" w:asciiTheme="minorEastAsia" w:hAnsiTheme="minorEastAsia" w:eastAsiaTheme="minorEastAsia" w:cstheme="minorEastAsia"/>
          <w:b/>
          <w:bCs/>
          <w:sz w:val="28"/>
          <w:szCs w:val="28"/>
        </w:rPr>
        <w:t>》课程大纲</w:t>
      </w:r>
      <w:r>
        <w:rPr>
          <w:rFonts w:hint="eastAsia" w:asciiTheme="minorEastAsia" w:hAnsiTheme="minorEastAsia" w:eastAsiaTheme="minorEastAsia" w:cstheme="minorEastAsia"/>
          <w:b/>
          <w:bCs/>
          <w:sz w:val="28"/>
          <w:szCs w:val="28"/>
          <w:lang w:eastAsia="zh-CN"/>
        </w:rPr>
        <w:t>和教学日历进行了</w:t>
      </w:r>
      <w:r>
        <w:rPr>
          <w:rFonts w:hint="eastAsia" w:asciiTheme="minorEastAsia" w:hAnsiTheme="minorEastAsia" w:eastAsiaTheme="minorEastAsia" w:cstheme="minorEastAsia"/>
          <w:b/>
          <w:bCs/>
          <w:sz w:val="28"/>
          <w:szCs w:val="28"/>
        </w:rPr>
        <w:t>重新编写</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社会的快速发展对地方高校人才培养提出了新的要求，结合我校办学特色、专业特点以及</w:t>
      </w:r>
      <w:r>
        <w:rPr>
          <w:rFonts w:hint="eastAsia" w:asciiTheme="minorEastAsia" w:hAnsiTheme="minorEastAsia" w:eastAsiaTheme="minorEastAsia" w:cstheme="minorEastAsia"/>
          <w:sz w:val="28"/>
          <w:szCs w:val="28"/>
        </w:rPr>
        <w:t>OBE理念</w:t>
      </w:r>
      <w:r>
        <w:rPr>
          <w:rFonts w:hint="eastAsia" w:asciiTheme="minorEastAsia" w:hAnsiTheme="minorEastAsia" w:eastAsiaTheme="minorEastAsia" w:cstheme="minorEastAsia"/>
          <w:sz w:val="28"/>
          <w:szCs w:val="28"/>
          <w:lang w:eastAsia="zh-CN"/>
        </w:rPr>
        <w:t>对理论和实验</w:t>
      </w:r>
      <w:r>
        <w:rPr>
          <w:rFonts w:hint="eastAsia" w:asciiTheme="minorEastAsia" w:hAnsiTheme="minorEastAsia" w:eastAsiaTheme="minorEastAsia" w:cstheme="minorEastAsia"/>
          <w:sz w:val="28"/>
          <w:szCs w:val="28"/>
        </w:rPr>
        <w:t>课程</w:t>
      </w:r>
      <w:r>
        <w:rPr>
          <w:rFonts w:hint="eastAsia" w:asciiTheme="minorEastAsia" w:hAnsiTheme="minorEastAsia" w:eastAsiaTheme="minorEastAsia" w:cstheme="minorEastAsia"/>
          <w:sz w:val="28"/>
          <w:szCs w:val="28"/>
          <w:lang w:eastAsia="zh-CN"/>
        </w:rPr>
        <w:t>教学</w:t>
      </w:r>
      <w:r>
        <w:rPr>
          <w:rFonts w:hint="eastAsia" w:asciiTheme="minorEastAsia" w:hAnsiTheme="minorEastAsia" w:eastAsiaTheme="minorEastAsia" w:cstheme="minorEastAsia"/>
          <w:sz w:val="28"/>
          <w:szCs w:val="28"/>
        </w:rPr>
        <w:t>大纲</w:t>
      </w:r>
      <w:r>
        <w:rPr>
          <w:rFonts w:hint="eastAsia" w:asciiTheme="minorEastAsia" w:hAnsiTheme="minorEastAsia" w:eastAsiaTheme="minorEastAsia" w:cstheme="minorEastAsia"/>
          <w:sz w:val="28"/>
          <w:szCs w:val="28"/>
          <w:lang w:eastAsia="zh-CN"/>
        </w:rPr>
        <w:t>和教学日历进行了</w:t>
      </w:r>
      <w:r>
        <w:rPr>
          <w:rFonts w:hint="eastAsia" w:asciiTheme="minorEastAsia" w:hAnsiTheme="minorEastAsia" w:eastAsiaTheme="minorEastAsia" w:cstheme="minorEastAsia"/>
          <w:sz w:val="28"/>
          <w:szCs w:val="28"/>
        </w:rPr>
        <w:t>重新编写。基于OBE理念，以学生为中心，结合产出导向，在充分进行调查研究的基础上，结合我校教学场地、教学设备等软硬件条件、学生知识结构、课程体系等重新编写课程大纲</w:t>
      </w:r>
      <w:r>
        <w:rPr>
          <w:rFonts w:hint="eastAsia" w:asciiTheme="minorEastAsia" w:hAnsiTheme="minorEastAsia" w:eastAsiaTheme="minorEastAsia" w:cstheme="minorEastAsia"/>
          <w:sz w:val="28"/>
          <w:szCs w:val="28"/>
          <w:lang w:eastAsia="zh-CN"/>
        </w:rPr>
        <w:t>和教学日历</w:t>
      </w:r>
      <w:r>
        <w:rPr>
          <w:rFonts w:hint="eastAsia" w:asciiTheme="minorEastAsia" w:hAnsiTheme="minorEastAsia" w:eastAsiaTheme="minorEastAsia" w:cstheme="minorEastAsia"/>
          <w:sz w:val="28"/>
          <w:szCs w:val="28"/>
        </w:rPr>
        <w:t>。由项目主持人负责提出，项目组全体成员参加。根据人才培养的目标和人才培养的需求，制定适应本专业发展的课程大纲</w:t>
      </w:r>
      <w:r>
        <w:rPr>
          <w:rFonts w:hint="eastAsia" w:asciiTheme="minorEastAsia" w:hAnsiTheme="minorEastAsia" w:eastAsiaTheme="minorEastAsia" w:cstheme="minorEastAsia"/>
          <w:sz w:val="28"/>
          <w:szCs w:val="28"/>
          <w:lang w:eastAsia="zh-CN"/>
        </w:rPr>
        <w:t>和教学日历</w:t>
      </w:r>
      <w:r>
        <w:rPr>
          <w:rFonts w:hint="eastAsia" w:asciiTheme="minorEastAsia" w:hAnsiTheme="minorEastAsia" w:eastAsiaTheme="minorEastAsia" w:cstheme="minorEastAsia"/>
          <w:sz w:val="28"/>
          <w:szCs w:val="28"/>
        </w:rPr>
        <w:t>，并由教研室和</w:t>
      </w:r>
      <w:r>
        <w:rPr>
          <w:rFonts w:hint="eastAsia" w:asciiTheme="minorEastAsia" w:hAnsiTheme="minorEastAsia" w:eastAsiaTheme="minorEastAsia" w:cstheme="minorEastAsia"/>
          <w:sz w:val="28"/>
          <w:szCs w:val="28"/>
          <w:lang w:eastAsia="zh-CN"/>
        </w:rPr>
        <w:t>二级</w:t>
      </w:r>
      <w:r>
        <w:rPr>
          <w:rFonts w:hint="eastAsia" w:asciiTheme="minorEastAsia" w:hAnsiTheme="minorEastAsia" w:eastAsiaTheme="minorEastAsia" w:cstheme="minorEastAsia"/>
          <w:sz w:val="28"/>
          <w:szCs w:val="28"/>
        </w:rPr>
        <w:t>学院进行审核确定。</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重新编写</w:t>
      </w:r>
      <w:r>
        <w:rPr>
          <w:rFonts w:hint="eastAsia" w:asciiTheme="minorEastAsia" w:hAnsiTheme="minorEastAsia" w:eastAsiaTheme="minorEastAsia" w:cstheme="minorEastAsia"/>
          <w:b/>
          <w:bCs/>
          <w:sz w:val="28"/>
          <w:szCs w:val="28"/>
          <w:lang w:eastAsia="zh-CN"/>
        </w:rPr>
        <w:t>了《</w:t>
      </w:r>
      <w:r>
        <w:rPr>
          <w:rFonts w:hint="eastAsia" w:asciiTheme="minorEastAsia" w:hAnsiTheme="minorEastAsia" w:eastAsiaTheme="minorEastAsia" w:cstheme="minorEastAsia"/>
          <w:b/>
          <w:bCs/>
          <w:sz w:val="28"/>
          <w:szCs w:val="28"/>
        </w:rPr>
        <w:t>电机学》</w:t>
      </w:r>
      <w:r>
        <w:rPr>
          <w:rFonts w:hint="eastAsia" w:asciiTheme="minorEastAsia" w:hAnsiTheme="minorEastAsia" w:eastAsiaTheme="minorEastAsia" w:cstheme="minorEastAsia"/>
          <w:b/>
          <w:bCs/>
          <w:sz w:val="28"/>
          <w:szCs w:val="28"/>
          <w:lang w:eastAsia="zh-CN"/>
        </w:rPr>
        <w:t>和</w:t>
      </w:r>
      <w:r>
        <w:rPr>
          <w:rFonts w:hint="eastAsia" w:asciiTheme="minorEastAsia" w:hAnsiTheme="minorEastAsia" w:eastAsiaTheme="minorEastAsia" w:cstheme="minorEastAsia"/>
          <w:b/>
          <w:bCs/>
          <w:sz w:val="28"/>
          <w:szCs w:val="28"/>
        </w:rPr>
        <w:t>《电机学</w:t>
      </w:r>
      <w:r>
        <w:rPr>
          <w:rFonts w:hint="eastAsia" w:asciiTheme="minorEastAsia" w:hAnsiTheme="minorEastAsia" w:eastAsiaTheme="minorEastAsia" w:cstheme="minorEastAsia"/>
          <w:b/>
          <w:bCs/>
          <w:sz w:val="28"/>
          <w:szCs w:val="28"/>
          <w:lang w:eastAsia="zh-CN"/>
        </w:rPr>
        <w:t>实验</w:t>
      </w:r>
      <w:r>
        <w:rPr>
          <w:rFonts w:hint="eastAsia" w:asciiTheme="minorEastAsia" w:hAnsiTheme="minorEastAsia" w:eastAsiaTheme="minorEastAsia" w:cstheme="minorEastAsia"/>
          <w:b/>
          <w:bCs/>
          <w:sz w:val="28"/>
          <w:szCs w:val="28"/>
        </w:rPr>
        <w:t>》课程教案</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根据新课程大纲对《电机学》</w:t>
      </w:r>
      <w:r>
        <w:rPr>
          <w:rFonts w:hint="eastAsia" w:asciiTheme="minorEastAsia" w:hAnsiTheme="minorEastAsia" w:eastAsiaTheme="minorEastAsia" w:cstheme="minorEastAsia"/>
          <w:sz w:val="28"/>
          <w:szCs w:val="28"/>
          <w:lang w:eastAsia="zh-CN"/>
        </w:rPr>
        <w:t>和</w:t>
      </w:r>
      <w:r>
        <w:rPr>
          <w:rFonts w:hint="eastAsia" w:asciiTheme="minorEastAsia" w:hAnsiTheme="minorEastAsia" w:eastAsiaTheme="minorEastAsia" w:cstheme="minorEastAsia"/>
          <w:sz w:val="28"/>
          <w:szCs w:val="28"/>
        </w:rPr>
        <w:t>《电机学</w:t>
      </w:r>
      <w:r>
        <w:rPr>
          <w:rFonts w:hint="eastAsia" w:asciiTheme="minorEastAsia" w:hAnsiTheme="minorEastAsia" w:eastAsiaTheme="minorEastAsia" w:cstheme="minorEastAsia"/>
          <w:sz w:val="28"/>
          <w:szCs w:val="28"/>
          <w:lang w:eastAsia="zh-CN"/>
        </w:rPr>
        <w:t>实验</w:t>
      </w:r>
      <w:r>
        <w:rPr>
          <w:rFonts w:hint="eastAsia" w:asciiTheme="minorEastAsia" w:hAnsiTheme="minorEastAsia" w:eastAsiaTheme="minorEastAsia" w:cstheme="minorEastAsia"/>
          <w:sz w:val="28"/>
          <w:szCs w:val="28"/>
        </w:rPr>
        <w:t>》课程教案进行重新编写，编写教案时首先项目组进行讨论，确定课程章节中重难点，依据各章节中的重难点，引入一些</w:t>
      </w:r>
      <w:r>
        <w:rPr>
          <w:rFonts w:hint="eastAsia" w:asciiTheme="minorEastAsia" w:hAnsiTheme="minorEastAsia" w:eastAsiaTheme="minorEastAsia" w:cstheme="minorEastAsia"/>
          <w:sz w:val="28"/>
          <w:szCs w:val="28"/>
          <w:lang w:eastAsia="zh-CN"/>
        </w:rPr>
        <w:t>电机</w:t>
      </w:r>
      <w:r>
        <w:rPr>
          <w:rFonts w:hint="eastAsia" w:asciiTheme="minorEastAsia" w:hAnsiTheme="minorEastAsia" w:eastAsiaTheme="minorEastAsia" w:cstheme="minorEastAsia"/>
          <w:sz w:val="28"/>
          <w:szCs w:val="28"/>
        </w:rPr>
        <w:t>工程实际项目，</w:t>
      </w:r>
      <w:r>
        <w:rPr>
          <w:rFonts w:hint="eastAsia" w:asciiTheme="minorEastAsia" w:hAnsiTheme="minorEastAsia" w:eastAsiaTheme="minorEastAsia" w:cstheme="minorEastAsia"/>
          <w:sz w:val="28"/>
          <w:szCs w:val="28"/>
          <w:lang w:eastAsia="zh-CN"/>
        </w:rPr>
        <w:t>帮助学生理解相关重难点知识，</w:t>
      </w:r>
      <w:r>
        <w:rPr>
          <w:rFonts w:hint="eastAsia" w:asciiTheme="minorEastAsia" w:hAnsiTheme="minorEastAsia" w:eastAsiaTheme="minorEastAsia" w:cstheme="minorEastAsia"/>
          <w:sz w:val="28"/>
          <w:szCs w:val="28"/>
        </w:rPr>
        <w:t>对以前一些基础性实验项目内容进行整改，增加一些实际工程项目相关实验。随着现代电机新技术的发展、现代电力电子元器件的发展以及现代计算机技术的发展，对于电机的一些结构、原理、工作特性常利用一些简单的工程项目来开展，采用</w:t>
      </w:r>
      <w:r>
        <w:rPr>
          <w:rFonts w:hint="eastAsia" w:asciiTheme="minorEastAsia" w:hAnsiTheme="minorEastAsia" w:eastAsiaTheme="minorEastAsia" w:cstheme="minorEastAsia"/>
          <w:sz w:val="28"/>
          <w:szCs w:val="28"/>
          <w:lang w:val="en-US" w:eastAsia="zh-CN"/>
        </w:rPr>
        <w:t>ANSYS和Magnet</w:t>
      </w:r>
      <w:r>
        <w:rPr>
          <w:rFonts w:hint="eastAsia" w:asciiTheme="minorEastAsia" w:hAnsiTheme="minorEastAsia" w:eastAsiaTheme="minorEastAsia" w:cstheme="minorEastAsia"/>
          <w:sz w:val="28"/>
          <w:szCs w:val="28"/>
        </w:rPr>
        <w:t>软件进行仿真验证，有利于加强学生动手能力和工程思维。基于OBE理念</w:t>
      </w:r>
      <w:r>
        <w:rPr>
          <w:rFonts w:hint="eastAsia" w:asciiTheme="minorEastAsia" w:hAnsiTheme="minorEastAsia" w:eastAsiaTheme="minorEastAsia" w:cstheme="minorEastAsia"/>
          <w:sz w:val="28"/>
          <w:szCs w:val="28"/>
          <w:lang w:eastAsia="zh-CN"/>
        </w:rPr>
        <w:t>对课程教学内容</w:t>
      </w:r>
      <w:r>
        <w:rPr>
          <w:rFonts w:hint="eastAsia" w:asciiTheme="minorEastAsia" w:hAnsiTheme="minorEastAsia" w:eastAsiaTheme="minorEastAsia" w:cstheme="minorEastAsia"/>
          <w:sz w:val="28"/>
          <w:szCs w:val="28"/>
        </w:rPr>
        <w:t>进行改革，以学生为中心，持续改进，化抽象为具体、化繁为简，</w:t>
      </w:r>
      <w:r>
        <w:rPr>
          <w:rFonts w:hint="eastAsia" w:asciiTheme="minorEastAsia" w:hAnsiTheme="minorEastAsia" w:eastAsiaTheme="minorEastAsia" w:cstheme="minorEastAsia"/>
          <w:sz w:val="28"/>
          <w:szCs w:val="28"/>
          <w:lang w:eastAsia="zh-CN"/>
        </w:rPr>
        <w:t>注重</w:t>
      </w:r>
      <w:r>
        <w:rPr>
          <w:rFonts w:hint="eastAsia" w:asciiTheme="minorEastAsia" w:hAnsiTheme="minorEastAsia" w:eastAsiaTheme="minorEastAsia" w:cstheme="minorEastAsia"/>
          <w:sz w:val="28"/>
          <w:szCs w:val="28"/>
        </w:rPr>
        <w:t>提高学生学习兴趣，</w:t>
      </w:r>
      <w:r>
        <w:rPr>
          <w:rFonts w:hint="eastAsia" w:asciiTheme="minorEastAsia" w:hAnsiTheme="minorEastAsia" w:eastAsiaTheme="minorEastAsia" w:cstheme="minorEastAsia"/>
          <w:sz w:val="28"/>
          <w:szCs w:val="28"/>
          <w:lang w:eastAsia="zh-CN"/>
        </w:rPr>
        <w:t>注重</w:t>
      </w:r>
      <w:r>
        <w:rPr>
          <w:rFonts w:hint="eastAsia" w:asciiTheme="minorEastAsia" w:hAnsiTheme="minorEastAsia" w:eastAsiaTheme="minorEastAsia" w:cstheme="minorEastAsia"/>
          <w:sz w:val="28"/>
          <w:szCs w:val="28"/>
        </w:rPr>
        <w:t>学生主体地位，</w:t>
      </w:r>
      <w:r>
        <w:rPr>
          <w:rFonts w:hint="eastAsia" w:asciiTheme="minorEastAsia" w:hAnsiTheme="minorEastAsia" w:eastAsiaTheme="minorEastAsia" w:cstheme="minorEastAsia"/>
          <w:sz w:val="28"/>
          <w:szCs w:val="28"/>
          <w:lang w:eastAsia="zh-CN"/>
        </w:rPr>
        <w:t>兼顾</w:t>
      </w:r>
      <w:r>
        <w:rPr>
          <w:rFonts w:hint="eastAsia" w:asciiTheme="minorEastAsia" w:hAnsiTheme="minorEastAsia" w:eastAsiaTheme="minorEastAsia" w:cstheme="minorEastAsia"/>
          <w:sz w:val="28"/>
          <w:szCs w:val="28"/>
        </w:rPr>
        <w:t>学生团队协作精神</w:t>
      </w:r>
      <w:r>
        <w:rPr>
          <w:rFonts w:hint="eastAsia" w:asciiTheme="minorEastAsia" w:hAnsiTheme="minorEastAsia" w:eastAsiaTheme="minorEastAsia" w:cstheme="minorEastAsia"/>
          <w:sz w:val="28"/>
          <w:szCs w:val="28"/>
          <w:lang w:eastAsia="zh-CN"/>
        </w:rPr>
        <w:t>同时培养学生自学能力。</w:t>
      </w:r>
    </w:p>
    <w:p>
      <w:pPr>
        <w:keepNext w:val="0"/>
        <w:keepLines w:val="0"/>
        <w:pageBreakBefore w:val="0"/>
        <w:numPr>
          <w:numId w:val="0"/>
        </w:numPr>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4.</w:t>
      </w:r>
      <w:r>
        <w:rPr>
          <w:rFonts w:hint="eastAsia" w:asciiTheme="minorEastAsia" w:hAnsiTheme="minorEastAsia" w:eastAsiaTheme="minorEastAsia" w:cstheme="minorEastAsia"/>
          <w:b/>
          <w:bCs/>
          <w:sz w:val="28"/>
          <w:szCs w:val="28"/>
        </w:rPr>
        <w:t>改革教学方法与教学手段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在教学过程中，融入OBE理念进行教学，通过反向设计思维把每章各节知识整合在一起，然后录制一些电机生产视频、以及建立电机3D模型和实物模型等进行教学演示，</w:t>
      </w:r>
      <w:r>
        <w:rPr>
          <w:rFonts w:hint="eastAsia" w:asciiTheme="minorEastAsia" w:hAnsiTheme="minorEastAsia" w:eastAsiaTheme="minorEastAsia" w:cstheme="minorEastAsia"/>
          <w:sz w:val="28"/>
          <w:szCs w:val="28"/>
          <w:lang w:eastAsia="zh-CN"/>
        </w:rPr>
        <w:t>引入项目式教学法，大量引入实际电机工程项目，</w:t>
      </w:r>
      <w:r>
        <w:rPr>
          <w:rFonts w:hint="eastAsia" w:asciiTheme="minorEastAsia" w:hAnsiTheme="minorEastAsia" w:eastAsiaTheme="minorEastAsia" w:cstheme="minorEastAsia"/>
          <w:sz w:val="28"/>
          <w:szCs w:val="28"/>
        </w:rPr>
        <w:t>充分调动学生的学习积极性，</w:t>
      </w:r>
      <w:r>
        <w:rPr>
          <w:rFonts w:hint="eastAsia" w:asciiTheme="minorEastAsia" w:hAnsiTheme="minorEastAsia" w:eastAsiaTheme="minorEastAsia" w:cstheme="minorEastAsia"/>
          <w:sz w:val="28"/>
          <w:szCs w:val="28"/>
          <w:lang w:eastAsia="zh-CN"/>
        </w:rPr>
        <w:t>培养学生工程思维，</w:t>
      </w:r>
      <w:r>
        <w:rPr>
          <w:rFonts w:hint="eastAsia" w:asciiTheme="minorEastAsia" w:hAnsiTheme="minorEastAsia" w:eastAsiaTheme="minorEastAsia" w:cstheme="minorEastAsia"/>
          <w:sz w:val="28"/>
          <w:szCs w:val="28"/>
        </w:rPr>
        <w:t>提高教学质量。</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eastAsiaTheme="minorEastAsia" w:cstheme="minorEastAsia"/>
          <w:b/>
          <w:bCs/>
          <w:sz w:val="28"/>
          <w:szCs w:val="28"/>
          <w:lang w:eastAsia="zh-CN"/>
        </w:rPr>
        <w:t>制定了《电机学》形成性评价体系、学生学习过程评估措施、</w:t>
      </w:r>
      <w:r>
        <w:rPr>
          <w:rFonts w:hint="eastAsia" w:asciiTheme="minorEastAsia" w:hAnsiTheme="minorEastAsia" w:eastAsiaTheme="minorEastAsia" w:cstheme="minorEastAsia"/>
          <w:b/>
          <w:bCs/>
          <w:sz w:val="28"/>
          <w:szCs w:val="28"/>
          <w:lang w:val="en-US" w:eastAsia="zh-CN"/>
        </w:rPr>
        <w:t>课程目标达成度评价机制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课程组成员开会讨论并制定了《电机学》课程学生形成性评价体系，对学生电机学的整个学习过程进行跟踪评价，并随时调整教学方法和教学手段，提高学生学习效果。制定</w:t>
      </w:r>
      <w:r>
        <w:rPr>
          <w:rFonts w:hint="eastAsia" w:asciiTheme="minorEastAsia" w:hAnsiTheme="minorEastAsia" w:eastAsiaTheme="minorEastAsia" w:cstheme="minorEastAsia"/>
          <w:sz w:val="28"/>
          <w:szCs w:val="28"/>
          <w:lang w:eastAsia="zh-CN"/>
        </w:rPr>
        <w:t>学生学习过程与</w:t>
      </w:r>
      <w:r>
        <w:rPr>
          <w:rFonts w:hint="eastAsia" w:asciiTheme="minorEastAsia" w:hAnsiTheme="minorEastAsia" w:eastAsiaTheme="minorEastAsia" w:cstheme="minorEastAsia"/>
          <w:sz w:val="28"/>
          <w:szCs w:val="28"/>
          <w:lang w:val="en-US" w:eastAsia="zh-CN"/>
        </w:rPr>
        <w:t>课程</w:t>
      </w:r>
      <w:r>
        <w:rPr>
          <w:rFonts w:hint="eastAsia" w:asciiTheme="minorEastAsia" w:hAnsiTheme="minorEastAsia" w:eastAsiaTheme="minorEastAsia" w:cstheme="minorEastAsia"/>
          <w:sz w:val="28"/>
          <w:szCs w:val="28"/>
          <w:lang w:eastAsia="zh-CN"/>
        </w:rPr>
        <w:t>评估办法，随时对学生进行监控与评价。制定</w:t>
      </w:r>
      <w:r>
        <w:rPr>
          <w:rFonts w:hint="eastAsia" w:asciiTheme="minorEastAsia" w:hAnsiTheme="minorEastAsia" w:eastAsiaTheme="minorEastAsia" w:cstheme="minorEastAsia"/>
          <w:sz w:val="28"/>
          <w:szCs w:val="28"/>
          <w:lang w:val="en-US" w:eastAsia="zh-CN"/>
        </w:rPr>
        <w:t>持续改进机制，对课程进行持续改进，不断优化教学方法，提高课程教学质量。建立课程目标达成度评价机制，专业负责人对课程的目标达成度情况进行审核，对后续教学提出要求，并进行持续改进，提高了学生课程目标达成度。</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6.</w:t>
      </w:r>
      <w:r>
        <w:rPr>
          <w:rFonts w:hint="eastAsia" w:asciiTheme="minorEastAsia" w:hAnsiTheme="minorEastAsia" w:eastAsiaTheme="minorEastAsia" w:cstheme="minorEastAsia"/>
          <w:b/>
          <w:bCs/>
          <w:sz w:val="28"/>
          <w:szCs w:val="28"/>
          <w:lang w:eastAsia="zh-CN"/>
        </w:rPr>
        <w:t>制定了预警和帮扶措施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教师教学过程中，对不同阶段学生成绩较差学生进行定时预警，并对学习困难学生帮扶，</w:t>
      </w:r>
      <w:r>
        <w:rPr>
          <w:rFonts w:hint="eastAsia" w:asciiTheme="minorEastAsia" w:hAnsiTheme="minorEastAsia" w:eastAsiaTheme="minorEastAsia" w:cstheme="minorEastAsia"/>
          <w:sz w:val="28"/>
          <w:szCs w:val="28"/>
        </w:rPr>
        <w:t>建立学业预警管理档案，</w:t>
      </w:r>
      <w:r>
        <w:rPr>
          <w:rFonts w:hint="eastAsia" w:asciiTheme="minorEastAsia" w:hAnsiTheme="minorEastAsia" w:eastAsiaTheme="minorEastAsia" w:cstheme="minorEastAsia"/>
          <w:sz w:val="28"/>
          <w:szCs w:val="28"/>
          <w:lang w:eastAsia="zh-CN"/>
        </w:rPr>
        <w:t>对存在思想问题学生，需协调辅导员、班主任甚至家长一起配合引导，从思想上解决学习困难问题。</w:t>
      </w:r>
      <w:r>
        <w:rPr>
          <w:rFonts w:hint="eastAsia" w:asciiTheme="minorEastAsia" w:hAnsiTheme="minorEastAsia" w:eastAsiaTheme="minorEastAsia" w:cstheme="minorEastAsia"/>
          <w:sz w:val="28"/>
          <w:szCs w:val="28"/>
        </w:rPr>
        <w:t>加强帮扶教育，督促学生完成学习任务。</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7.</w:t>
      </w:r>
      <w:r>
        <w:rPr>
          <w:rFonts w:hint="eastAsia" w:asciiTheme="minorEastAsia" w:hAnsiTheme="minorEastAsia" w:eastAsiaTheme="minorEastAsia" w:cstheme="minorEastAsia"/>
          <w:b/>
          <w:bCs/>
          <w:sz w:val="28"/>
          <w:szCs w:val="28"/>
          <w:lang w:eastAsia="zh-CN"/>
        </w:rPr>
        <w:t>经验推广与成果总结</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总结成果，对成功的经验和较好的做法进行实施与推广，</w:t>
      </w:r>
      <w:r>
        <w:rPr>
          <w:rFonts w:hint="eastAsia" w:asciiTheme="minorEastAsia" w:hAnsiTheme="minorEastAsia" w:eastAsiaTheme="minorEastAsia" w:cstheme="minorEastAsia"/>
          <w:sz w:val="28"/>
          <w:szCs w:val="28"/>
          <w:lang w:eastAsia="zh-CN"/>
        </w:rPr>
        <w:t>在校内不同二级学院对成功经验进行了分享与推广，</w:t>
      </w:r>
      <w:r>
        <w:rPr>
          <w:rFonts w:hint="eastAsia" w:asciiTheme="minorEastAsia" w:hAnsiTheme="minorEastAsia" w:eastAsiaTheme="minorEastAsia" w:cstheme="minorEastAsia"/>
          <w:sz w:val="28"/>
          <w:szCs w:val="28"/>
        </w:rPr>
        <w:t>撰写结题报告，</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发表</w:t>
      </w:r>
      <w:r>
        <w:rPr>
          <w:rFonts w:hint="eastAsia" w:asciiTheme="minorEastAsia" w:hAnsiTheme="minorEastAsia" w:eastAsiaTheme="minorEastAsia" w:cstheme="minorEastAsia"/>
          <w:sz w:val="28"/>
          <w:szCs w:val="28"/>
          <w:lang w:eastAsia="zh-CN"/>
        </w:rPr>
        <w:t>教改</w:t>
      </w:r>
      <w:r>
        <w:rPr>
          <w:rFonts w:hint="eastAsia" w:asciiTheme="minorEastAsia" w:hAnsiTheme="minorEastAsia" w:eastAsiaTheme="minorEastAsia" w:cstheme="minorEastAsia"/>
          <w:sz w:val="28"/>
          <w:szCs w:val="28"/>
        </w:rPr>
        <w:t>论文</w:t>
      </w:r>
      <w:r>
        <w:rPr>
          <w:rFonts w:hint="eastAsia" w:asciiTheme="minorEastAsia" w:hAnsiTheme="minorEastAsia" w:eastAsiaTheme="minorEastAsia" w:cstheme="minorEastAsia"/>
          <w:sz w:val="28"/>
          <w:szCs w:val="28"/>
          <w:lang w:eastAsia="zh-CN"/>
        </w:rPr>
        <w:t>，同时实验教学过程中的一些创新想法带领学生申请专利</w:t>
      </w:r>
      <w:r>
        <w:rPr>
          <w:rFonts w:hint="eastAsia" w:asciiTheme="minorEastAsia" w:hAnsiTheme="minorEastAsia" w:eastAsiaTheme="minorEastAsia" w:cstheme="minorEastAsia"/>
          <w:sz w:val="28"/>
          <w:szCs w:val="28"/>
        </w:rPr>
        <w:t>。</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leftChars="0"/>
        <w:jc w:val="left"/>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四、取得的工作成效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562" w:firstLineChars="200"/>
        <w:jc w:val="left"/>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1.取得的主要成效</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基于OBE理念和高校办学特点，</w:t>
      </w:r>
      <w:r>
        <w:rPr>
          <w:rFonts w:hint="eastAsia" w:asciiTheme="minorEastAsia" w:hAnsiTheme="minorEastAsia" w:eastAsiaTheme="minorEastAsia" w:cstheme="minorEastAsia"/>
          <w:sz w:val="28"/>
          <w:szCs w:val="28"/>
        </w:rPr>
        <w:t>修订了《电机学》和《电机学实验》课程大纲和教学日历</w:t>
      </w:r>
      <w:r>
        <w:rPr>
          <w:rFonts w:hint="eastAsia" w:asciiTheme="minorEastAsia" w:hAnsiTheme="minorEastAsia" w:eastAsiaTheme="minorEastAsia" w:cstheme="minorEastAsia"/>
          <w:sz w:val="28"/>
          <w:szCs w:val="28"/>
          <w:lang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根据工程教育专业认证特点，编写了《电机学》和《电机学实验》课程教案。</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制定了《电机学》课程形成性评价体系、学生学习过程评估措施、课程目标达成度评价机制。</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制定了预警和帮扶措施。</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通过该项目实施，通过2019级和2020级学生电机学成绩比较，期评成绩得到显著提升。</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2021年成功申报湖南省一流本科线上线下混合式教学课程</w:t>
      </w:r>
      <w:r>
        <w:rPr>
          <w:rFonts w:hint="eastAsia" w:asciiTheme="minorEastAsia" w:hAnsiTheme="minorEastAsia" w:eastAsiaTheme="minorEastAsia" w:cstheme="minorEastAsia"/>
          <w:sz w:val="28"/>
          <w:szCs w:val="28"/>
          <w:lang w:eastAsia="zh-CN"/>
        </w:rPr>
        <w:t>一门，</w:t>
      </w:r>
      <w:r>
        <w:rPr>
          <w:rFonts w:hint="eastAsia" w:asciiTheme="minorEastAsia" w:hAnsiTheme="minorEastAsia" w:eastAsiaTheme="minorEastAsia" w:cstheme="minorEastAsia"/>
          <w:sz w:val="28"/>
          <w:szCs w:val="28"/>
        </w:rPr>
        <w:t>2021年</w:t>
      </w:r>
      <w:r>
        <w:rPr>
          <w:rFonts w:hint="eastAsia" w:asciiTheme="minorEastAsia" w:hAnsiTheme="minorEastAsia" w:eastAsiaTheme="minorEastAsia" w:cstheme="minorEastAsia"/>
          <w:sz w:val="28"/>
          <w:szCs w:val="28"/>
          <w:lang w:eastAsia="zh-CN"/>
        </w:rPr>
        <w:t>成功立项教育部供需对接就业育人项目一项；</w:t>
      </w:r>
      <w:r>
        <w:rPr>
          <w:rFonts w:hint="eastAsia" w:asciiTheme="minorEastAsia" w:hAnsiTheme="minorEastAsia" w:eastAsiaTheme="minorEastAsia" w:cstheme="minorEastAsia"/>
          <w:sz w:val="28"/>
          <w:szCs w:val="28"/>
        </w:rPr>
        <w:t>2021年</w:t>
      </w:r>
      <w:r>
        <w:rPr>
          <w:rFonts w:hint="eastAsia" w:asciiTheme="minorEastAsia" w:hAnsiTheme="minorEastAsia" w:eastAsiaTheme="minorEastAsia" w:cstheme="minorEastAsia"/>
          <w:sz w:val="28"/>
          <w:szCs w:val="28"/>
          <w:lang w:eastAsia="zh-CN"/>
        </w:rPr>
        <w:t>成功立项教育部产学合作协同育人项目</w:t>
      </w:r>
      <w:r>
        <w:rPr>
          <w:rFonts w:hint="eastAsia" w:asciiTheme="minorEastAsia" w:hAnsiTheme="minorEastAsia" w:eastAsiaTheme="minorEastAsia" w:cstheme="minorEastAsia"/>
          <w:sz w:val="28"/>
          <w:szCs w:val="28"/>
          <w:lang w:val="en-US" w:eastAsia="zh-CN"/>
        </w:rPr>
        <w:t>3项</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2021年</w:t>
      </w:r>
      <w:r>
        <w:rPr>
          <w:rFonts w:hint="eastAsia" w:asciiTheme="minorEastAsia" w:hAnsiTheme="minorEastAsia" w:eastAsiaTheme="minorEastAsia" w:cstheme="minorEastAsia"/>
          <w:sz w:val="28"/>
          <w:szCs w:val="28"/>
          <w:lang w:eastAsia="zh-CN"/>
        </w:rPr>
        <w:t>成功立项企业横向项目</w:t>
      </w:r>
      <w:r>
        <w:rPr>
          <w:rFonts w:hint="eastAsia" w:asciiTheme="minorEastAsia" w:hAnsiTheme="minorEastAsia" w:eastAsiaTheme="minorEastAsia" w:cstheme="minorEastAsia"/>
          <w:sz w:val="28"/>
          <w:szCs w:val="28"/>
          <w:lang w:val="en-US" w:eastAsia="zh-CN"/>
        </w:rPr>
        <w:t>1项</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2021年-2022年</w:t>
      </w:r>
      <w:r>
        <w:rPr>
          <w:rFonts w:hint="eastAsia" w:asciiTheme="minorEastAsia" w:hAnsiTheme="minorEastAsia" w:eastAsiaTheme="minorEastAsia" w:cstheme="minorEastAsia"/>
          <w:sz w:val="28"/>
          <w:szCs w:val="28"/>
        </w:rPr>
        <w:t>在全国性高教研究期刊上发表一般期刊教改论文</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篇。</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指导</w:t>
      </w:r>
      <w:r>
        <w:rPr>
          <w:rFonts w:hint="eastAsia" w:asciiTheme="minorEastAsia" w:hAnsiTheme="minorEastAsia" w:eastAsiaTheme="minorEastAsia" w:cstheme="minorEastAsia"/>
          <w:sz w:val="28"/>
          <w:szCs w:val="28"/>
        </w:rPr>
        <w:t>学生共同授权</w:t>
      </w:r>
      <w:r>
        <w:rPr>
          <w:rFonts w:hint="eastAsia" w:asciiTheme="minorEastAsia" w:hAnsiTheme="minorEastAsia" w:eastAsiaTheme="minorEastAsia" w:cstheme="minorEastAsia"/>
          <w:sz w:val="28"/>
          <w:szCs w:val="28"/>
          <w:lang w:eastAsia="zh-CN"/>
        </w:rPr>
        <w:t>发明</w:t>
      </w:r>
      <w:r>
        <w:rPr>
          <w:rFonts w:hint="eastAsia" w:asciiTheme="minorEastAsia" w:hAnsiTheme="minorEastAsia" w:eastAsiaTheme="minorEastAsia" w:cstheme="minorEastAsia"/>
          <w:sz w:val="28"/>
          <w:szCs w:val="28"/>
        </w:rPr>
        <w:t>专利</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项，培养学生专利写作水平</w:t>
      </w:r>
      <w:r>
        <w:rPr>
          <w:rFonts w:hint="eastAsia" w:asciiTheme="minorEastAsia" w:hAnsiTheme="minorEastAsia" w:eastAsiaTheme="minorEastAsia" w:cstheme="minorEastAsia"/>
          <w:sz w:val="28"/>
          <w:szCs w:val="28"/>
          <w:lang w:eastAsia="zh-CN"/>
        </w:rPr>
        <w:t>，学生获批省级大学生创新创业训练计划项目</w:t>
      </w:r>
      <w:r>
        <w:rPr>
          <w:rFonts w:hint="eastAsia" w:asciiTheme="minorEastAsia" w:hAnsiTheme="minorEastAsia" w:eastAsiaTheme="minorEastAsia" w:cstheme="minorEastAsia"/>
          <w:sz w:val="28"/>
          <w:szCs w:val="28"/>
          <w:lang w:val="en-US" w:eastAsia="zh-CN"/>
        </w:rPr>
        <w:t>2项，发表学术论文3篇</w:t>
      </w:r>
      <w:r>
        <w:rPr>
          <w:rFonts w:hint="eastAsia" w:asciiTheme="minorEastAsia" w:hAnsiTheme="minorEastAsia" w:eastAsiaTheme="minorEastAsia" w:cstheme="minorEastAsia"/>
          <w:sz w:val="28"/>
          <w:szCs w:val="28"/>
        </w:rPr>
        <w:t>。</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2022年6月，我校电气工程及其自动化专业顺利通过了工程教育专业认证。</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以201</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级～20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级电气工程及其自动化专业班级试点为对象，并将总结经验、推广到其它工科专业，到20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年受益学生将达1000人以上。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562" w:firstLineChars="200"/>
        <w:jc w:val="left"/>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2.项目成果清单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发表教改论文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一般期刊</w:t>
      </w:r>
      <w:r>
        <w:rPr>
          <w:rFonts w:hint="eastAsia" w:asciiTheme="minorEastAsia" w:hAnsiTheme="minorEastAsia" w:eastAsiaTheme="minorEastAsia" w:cstheme="minorEastAsia"/>
          <w:sz w:val="28"/>
          <w:szCs w:val="28"/>
          <w:lang w:val="en-US" w:eastAsia="zh-CN"/>
        </w:rPr>
        <w:t>，2021（11）：88-89，</w:t>
      </w:r>
      <w:r>
        <w:rPr>
          <w:rFonts w:hint="eastAsia" w:asciiTheme="minorEastAsia" w:hAnsiTheme="minorEastAsia" w:eastAsiaTheme="minorEastAsia" w:cstheme="minorEastAsia"/>
          <w:sz w:val="28"/>
          <w:szCs w:val="28"/>
        </w:rPr>
        <w:t>2021.11.15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中国电力教育</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基于 OBE 理念的《电机学》课程形成性评价研究与实践</w:t>
      </w:r>
      <w:r>
        <w:rPr>
          <w:rFonts w:hint="eastAsia" w:asciiTheme="minorEastAsia" w:hAnsiTheme="minorEastAsia" w:eastAsiaTheme="minorEastAsia" w:cstheme="minorEastAsia"/>
          <w:sz w:val="28"/>
          <w:szCs w:val="28"/>
          <w:lang w:eastAsia="zh-CN"/>
        </w:rPr>
        <w:t>》；彭志华，尹进田，唐杰，林立，王晓芳，</w:t>
      </w:r>
      <w:r>
        <w:rPr>
          <w:rFonts w:hint="eastAsia" w:asciiTheme="minorEastAsia" w:hAnsiTheme="minorEastAsia" w:eastAsiaTheme="minorEastAsia" w:cstheme="minorEastAsia"/>
          <w:sz w:val="28"/>
          <w:szCs w:val="28"/>
          <w:lang w:val="en-US" w:eastAsia="zh-CN"/>
        </w:rPr>
        <w:t>88-89页</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一般期刊</w:t>
      </w:r>
      <w:r>
        <w:rPr>
          <w:rFonts w:hint="eastAsia" w:asciiTheme="minorEastAsia" w:hAnsiTheme="minorEastAsia" w:eastAsiaTheme="minorEastAsia" w:cstheme="minorEastAsia"/>
          <w:sz w:val="28"/>
          <w:szCs w:val="28"/>
          <w:lang w:val="en-US" w:eastAsia="zh-CN"/>
        </w:rPr>
        <w:t>，2022（05）：84-86，</w:t>
      </w: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现代农机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工程教育认证背景下应用技术型高校电机学课程教学大纲的改革研究与实践</w:t>
      </w:r>
      <w:r>
        <w:rPr>
          <w:rFonts w:hint="eastAsia" w:asciiTheme="minorEastAsia" w:hAnsiTheme="minorEastAsia" w:eastAsiaTheme="minorEastAsia" w:cstheme="minorEastAsia"/>
          <w:sz w:val="28"/>
          <w:szCs w:val="28"/>
          <w:lang w:eastAsia="zh-CN"/>
        </w:rPr>
        <w:t>》；彭志华，尹进田，唐杰，林立，黄国华，</w:t>
      </w:r>
      <w:r>
        <w:rPr>
          <w:rFonts w:hint="eastAsia" w:asciiTheme="minorEastAsia" w:hAnsiTheme="minorEastAsia" w:eastAsiaTheme="minorEastAsia" w:cstheme="minorEastAsia"/>
          <w:sz w:val="28"/>
          <w:szCs w:val="28"/>
          <w:lang w:val="en-US" w:eastAsia="zh-CN"/>
        </w:rPr>
        <w:t>84-86页</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一般期刊</w:t>
      </w:r>
      <w:r>
        <w:rPr>
          <w:rFonts w:hint="eastAsia" w:asciiTheme="minorEastAsia" w:hAnsiTheme="minorEastAsia" w:eastAsiaTheme="minorEastAsia" w:cstheme="minorEastAsia"/>
          <w:sz w:val="28"/>
          <w:szCs w:val="28"/>
          <w:lang w:val="en-US" w:eastAsia="zh-CN"/>
        </w:rPr>
        <w:t>，2021（23）：74-76，</w:t>
      </w:r>
      <w:r>
        <w:rPr>
          <w:rFonts w:hint="eastAsia" w:asciiTheme="minorEastAsia" w:hAnsiTheme="minorEastAsia" w:eastAsiaTheme="minorEastAsia" w:cstheme="minorEastAsia"/>
          <w:sz w:val="28"/>
          <w:szCs w:val="28"/>
        </w:rPr>
        <w:t>2021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中国现代教育装备</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工程教育专业认证背景下电气工程专业应用型人才培养课程体系探究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尹进田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唐杰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刘丽</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王晓芳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彭志华</w:t>
      </w:r>
      <w:r>
        <w:rPr>
          <w:rFonts w:hint="eastAsia" w:asciiTheme="minorEastAsia" w:hAnsiTheme="minorEastAsia" w:eastAsiaTheme="minorEastAsia" w:cstheme="minorEastAsia"/>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（2）立项的项目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2022年教育部供需对接就业育人项目“电气工程专业“三点一线”思创融合人才培养模式的探究与实践”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20220104240</w:t>
      </w:r>
      <w:r>
        <w:rPr>
          <w:rFonts w:hint="eastAsia" w:asciiTheme="minorEastAsia" w:hAnsiTheme="minorEastAsia" w:eastAsiaTheme="minorEastAsia" w:cstheme="minorEastAsia"/>
          <w:sz w:val="28"/>
          <w:szCs w:val="28"/>
          <w:lang w:eastAsia="zh-CN"/>
        </w:rPr>
        <w:t>）。彭志华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2022年教育部产学合作协同育人项目“</w:t>
      </w:r>
      <w:r>
        <w:rPr>
          <w:rFonts w:hint="eastAsia" w:asciiTheme="minorEastAsia" w:hAnsiTheme="minorEastAsia" w:eastAsiaTheme="minorEastAsia" w:cstheme="minorEastAsia"/>
          <w:sz w:val="28"/>
          <w:szCs w:val="28"/>
          <w:lang w:eastAsia="zh-CN"/>
        </w:rPr>
        <w:t>工程教育认证背景下电气类专业校内</w:t>
      </w:r>
      <w:r>
        <w:rPr>
          <w:rFonts w:hint="eastAsia" w:asciiTheme="minorEastAsia" w:hAnsiTheme="minorEastAsia" w:eastAsiaTheme="minorEastAsia" w:cstheme="minorEastAsia"/>
          <w:sz w:val="28"/>
          <w:szCs w:val="28"/>
          <w:lang w:val="en-US" w:eastAsia="zh-CN"/>
        </w:rPr>
        <w:t>CAE仿真实践教学基地建设”（220606517060343）</w:t>
      </w:r>
      <w:r>
        <w:rPr>
          <w:rFonts w:hint="eastAsia" w:asciiTheme="minorEastAsia" w:hAnsiTheme="minorEastAsia" w:eastAsiaTheme="minorEastAsia" w:cstheme="minorEastAsia"/>
          <w:sz w:val="28"/>
          <w:szCs w:val="28"/>
          <w:lang w:eastAsia="zh-CN"/>
        </w:rPr>
        <w:t>。彭志华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2022年教育部产学合作协同育人项目“</w:t>
      </w:r>
      <w:r>
        <w:rPr>
          <w:rFonts w:hint="eastAsia" w:asciiTheme="minorEastAsia" w:hAnsiTheme="minorEastAsia" w:eastAsiaTheme="minorEastAsia" w:cstheme="minorEastAsia"/>
          <w:sz w:val="28"/>
          <w:szCs w:val="28"/>
          <w:lang w:eastAsia="zh-CN"/>
        </w:rPr>
        <w:t>新工科背景下应用技术型高校电气类人才培养模式改革研究和实践”（</w:t>
      </w:r>
      <w:r>
        <w:rPr>
          <w:rFonts w:hint="eastAsia" w:asciiTheme="minorEastAsia" w:hAnsiTheme="minorEastAsia" w:eastAsiaTheme="minorEastAsia" w:cstheme="minorEastAsia"/>
          <w:sz w:val="28"/>
          <w:szCs w:val="28"/>
          <w:lang w:val="en-US" w:eastAsia="zh-CN"/>
        </w:rPr>
        <w:t>220501066112445</w:t>
      </w:r>
      <w:r>
        <w:rPr>
          <w:rFonts w:hint="eastAsia" w:asciiTheme="minorEastAsia" w:hAnsiTheme="minorEastAsia" w:eastAsiaTheme="minorEastAsia" w:cstheme="minorEastAsia"/>
          <w:sz w:val="28"/>
          <w:szCs w:val="28"/>
          <w:lang w:eastAsia="zh-CN"/>
        </w:rPr>
        <w:t>）。彭志华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2022年教育部产学合作协同育人项目“智能建造技术背景下《自动控制原理》课程线上线下混合式教学改革研究”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220502746111013</w:t>
      </w:r>
      <w:r>
        <w:rPr>
          <w:rFonts w:hint="eastAsia" w:asciiTheme="minorEastAsia" w:hAnsiTheme="minorEastAsia" w:eastAsiaTheme="minorEastAsia" w:cstheme="minorEastAsia"/>
          <w:sz w:val="28"/>
          <w:szCs w:val="28"/>
          <w:lang w:eastAsia="zh-CN"/>
        </w:rPr>
        <w:t>）。彭志华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（3）申报的省级一流课程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2021年湖南省线上线下混合式一流课程《</w:t>
      </w:r>
      <w:r>
        <w:rPr>
          <w:rFonts w:hint="eastAsia" w:asciiTheme="minorEastAsia" w:hAnsiTheme="minorEastAsia" w:eastAsiaTheme="minorEastAsia" w:cstheme="minorEastAsia"/>
          <w:sz w:val="28"/>
          <w:szCs w:val="28"/>
          <w:lang w:eastAsia="zh-CN"/>
        </w:rPr>
        <w:t>自动控制原理》</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湘教通〔2020〕322 号</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。尹进田、刘新波、刘丽、彭志华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指导</w:t>
      </w:r>
      <w:r>
        <w:rPr>
          <w:rFonts w:hint="eastAsia" w:asciiTheme="minorEastAsia" w:hAnsiTheme="minorEastAsia" w:eastAsiaTheme="minorEastAsia" w:cstheme="minorEastAsia"/>
          <w:sz w:val="28"/>
          <w:szCs w:val="28"/>
        </w:rPr>
        <w:t>学生共同授权</w:t>
      </w:r>
      <w:r>
        <w:rPr>
          <w:rFonts w:hint="eastAsia" w:asciiTheme="minorEastAsia" w:hAnsiTheme="minorEastAsia" w:eastAsiaTheme="minorEastAsia" w:cstheme="minorEastAsia"/>
          <w:sz w:val="28"/>
          <w:szCs w:val="28"/>
          <w:lang w:eastAsia="zh-CN"/>
        </w:rPr>
        <w:t>发明</w:t>
      </w:r>
      <w:r>
        <w:rPr>
          <w:rFonts w:hint="eastAsia" w:asciiTheme="minorEastAsia" w:hAnsiTheme="minorEastAsia" w:eastAsiaTheme="minorEastAsia" w:cstheme="minorEastAsia"/>
          <w:sz w:val="28"/>
          <w:szCs w:val="28"/>
        </w:rPr>
        <w:t>专利</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发明</w:t>
      </w:r>
      <w:r>
        <w:rPr>
          <w:rFonts w:hint="eastAsia" w:asciiTheme="minorEastAsia" w:hAnsiTheme="minorEastAsia" w:eastAsiaTheme="minorEastAsia" w:cstheme="minorEastAsia"/>
          <w:sz w:val="28"/>
          <w:szCs w:val="28"/>
        </w:rPr>
        <w:t>专利  一种虾类去壳装置  授权号：ZL202110689166</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9  彭志华、</w:t>
      </w:r>
      <w:r>
        <w:rPr>
          <w:rFonts w:hint="eastAsia" w:asciiTheme="minorEastAsia" w:hAnsiTheme="minorEastAsia" w:eastAsiaTheme="minorEastAsia" w:cstheme="minorEastAsia"/>
          <w:sz w:val="28"/>
          <w:szCs w:val="28"/>
          <w:lang w:eastAsia="zh-CN"/>
        </w:rPr>
        <w:t>孙雨晴</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尹进田、林立、唐杰</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发明</w:t>
      </w:r>
      <w:r>
        <w:rPr>
          <w:rFonts w:hint="eastAsia" w:asciiTheme="minorEastAsia" w:hAnsiTheme="minorEastAsia" w:eastAsiaTheme="minorEastAsia" w:cstheme="minorEastAsia"/>
          <w:sz w:val="28"/>
          <w:szCs w:val="28"/>
        </w:rPr>
        <w:t>专利 一种虾类去壳工具 授权号：ZL202110689177.7  彭志华、</w:t>
      </w:r>
      <w:r>
        <w:rPr>
          <w:rFonts w:hint="eastAsia" w:asciiTheme="minorEastAsia" w:hAnsiTheme="minorEastAsia" w:eastAsiaTheme="minorEastAsia" w:cstheme="minorEastAsia"/>
          <w:sz w:val="28"/>
          <w:szCs w:val="28"/>
          <w:lang w:eastAsia="zh-CN"/>
        </w:rPr>
        <w:t>孙雨晴</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尹进田、林立、唐杰</w:t>
      </w:r>
      <w:r>
        <w:rPr>
          <w:rFonts w:hint="eastAsia" w:asciiTheme="minorEastAsia" w:hAnsiTheme="minorEastAsia" w:eastAsiaTheme="minorEastAsia" w:cstheme="minorEastAsia"/>
          <w:sz w:val="28"/>
          <w:szCs w:val="28"/>
        </w:rPr>
        <w:t xml:space="preserve"> 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sz w:val="28"/>
          <w:szCs w:val="28"/>
          <w:lang w:eastAsia="zh-CN"/>
        </w:rPr>
        <w:t>发明</w:t>
      </w:r>
      <w:r>
        <w:rPr>
          <w:rFonts w:hint="eastAsia" w:asciiTheme="minorEastAsia" w:hAnsiTheme="minorEastAsia" w:eastAsiaTheme="minorEastAsia" w:cstheme="minorEastAsia"/>
          <w:sz w:val="28"/>
          <w:szCs w:val="28"/>
        </w:rPr>
        <w:t>专利 一种虾类去壳工具 授权号：ZL2021 1 0689176.2  彭志华、</w:t>
      </w:r>
      <w:r>
        <w:rPr>
          <w:rFonts w:hint="eastAsia" w:asciiTheme="minorEastAsia" w:hAnsiTheme="minorEastAsia" w:eastAsiaTheme="minorEastAsia" w:cstheme="minorEastAsia"/>
          <w:sz w:val="28"/>
          <w:szCs w:val="28"/>
          <w:lang w:eastAsia="zh-CN"/>
        </w:rPr>
        <w:t>孙雨晴</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尹进田、林立、唐杰</w:t>
      </w:r>
      <w:r>
        <w:rPr>
          <w:rFonts w:hint="eastAsia" w:asciiTheme="minorEastAsia" w:hAnsiTheme="minorEastAsia" w:eastAsiaTheme="minorEastAsia" w:cstheme="minorEastAsia"/>
          <w:sz w:val="28"/>
          <w:szCs w:val="28"/>
        </w:rPr>
        <w:t xml:space="preserve"> 20</w:t>
      </w: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五、特色和创新点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62" w:firstLineChars="200"/>
        <w:jc w:val="left"/>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cstheme="minorEastAsia"/>
          <w:b/>
          <w:bCs/>
          <w:color w:val="000000"/>
          <w:kern w:val="0"/>
          <w:sz w:val="28"/>
          <w:szCs w:val="28"/>
          <w:lang w:val="en-US" w:eastAsia="zh-CN" w:bidi="ar"/>
        </w:rPr>
        <w:t>1.</w:t>
      </w:r>
      <w:r>
        <w:rPr>
          <w:rFonts w:hint="eastAsia" w:asciiTheme="minorEastAsia" w:hAnsiTheme="minorEastAsia" w:eastAsiaTheme="minorEastAsia" w:cstheme="minorEastAsia"/>
          <w:b/>
          <w:bCs/>
          <w:color w:val="000000"/>
          <w:kern w:val="0"/>
          <w:sz w:val="28"/>
          <w:szCs w:val="28"/>
          <w:lang w:val="en-US" w:eastAsia="zh-CN" w:bidi="ar"/>
        </w:rPr>
        <w:t>《电机学》课程教学内容创新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基于OBE教育理念</w:t>
      </w:r>
      <w:r>
        <w:rPr>
          <w:rFonts w:hint="eastAsia" w:asciiTheme="minorEastAsia" w:hAnsiTheme="minorEastAsia" w:eastAsiaTheme="minorEastAsia" w:cstheme="minorEastAsia"/>
          <w:sz w:val="28"/>
          <w:szCs w:val="28"/>
          <w:lang w:eastAsia="zh-CN"/>
        </w:rPr>
        <w:t>并结合专业办学特色</w:t>
      </w:r>
      <w:r>
        <w:rPr>
          <w:rFonts w:hint="eastAsia" w:asciiTheme="minorEastAsia" w:hAnsiTheme="minorEastAsia" w:eastAsiaTheme="minorEastAsia" w:cstheme="minorEastAsia"/>
          <w:sz w:val="28"/>
          <w:szCs w:val="28"/>
        </w:rPr>
        <w:t>，将其应用于电机学教学中，在教学过程中充分灌输四个字：“宽”、“全”、“浅”、“实”，即知识应用范围宽广，知识点覆盖全面、知识系统性强，概念理论通俗易懂，理论联系实际，内容具有一定的工程实用价值。通过项目</w:t>
      </w:r>
      <w:r>
        <w:rPr>
          <w:rFonts w:hint="eastAsia" w:asciiTheme="minorEastAsia" w:hAnsiTheme="minorEastAsia" w:eastAsiaTheme="minorEastAsia" w:cstheme="minorEastAsia"/>
          <w:sz w:val="28"/>
          <w:szCs w:val="28"/>
          <w:lang w:eastAsia="zh-CN"/>
        </w:rPr>
        <w:t>式教学</w:t>
      </w:r>
      <w:r>
        <w:rPr>
          <w:rFonts w:hint="eastAsia" w:asciiTheme="minorEastAsia" w:hAnsiTheme="minorEastAsia" w:eastAsiaTheme="minorEastAsia" w:cstheme="minorEastAsia"/>
          <w:sz w:val="28"/>
          <w:szCs w:val="28"/>
        </w:rPr>
        <w:t>，加深了学生对课本知识的系统掌握以及灵活应用，把理论和实践结合起来，加强了学生的工程思维，从而有利于培养符合企业需求的应用技术型人才。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562" w:firstLineChars="200"/>
        <w:jc w:val="left"/>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2.《电机学》课程教学制度创新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《电机学》</w:t>
      </w:r>
      <w:r>
        <w:rPr>
          <w:rFonts w:hint="eastAsia" w:asciiTheme="minorEastAsia" w:hAnsiTheme="minorEastAsia" w:eastAsiaTheme="minorEastAsia" w:cstheme="minorEastAsia"/>
          <w:sz w:val="28"/>
          <w:szCs w:val="28"/>
          <w:lang w:eastAsia="zh-CN"/>
        </w:rPr>
        <w:t>课程教学过程中，</w:t>
      </w:r>
      <w:r>
        <w:rPr>
          <w:rFonts w:hint="eastAsia" w:asciiTheme="minorEastAsia" w:hAnsiTheme="minorEastAsia" w:eastAsiaTheme="minorEastAsia" w:cstheme="minorEastAsia"/>
          <w:sz w:val="28"/>
          <w:szCs w:val="28"/>
          <w:lang w:val="en-US" w:eastAsia="zh-CN"/>
        </w:rPr>
        <w:t>制定了</w:t>
      </w:r>
      <w:r>
        <w:rPr>
          <w:rFonts w:hint="eastAsia" w:asciiTheme="minorEastAsia" w:hAnsiTheme="minorEastAsia" w:eastAsiaTheme="minorEastAsia" w:cstheme="minorEastAsia"/>
          <w:sz w:val="28"/>
          <w:szCs w:val="28"/>
          <w:lang w:eastAsia="zh-CN"/>
        </w:rPr>
        <w:t>学生学习过程与</w:t>
      </w:r>
      <w:r>
        <w:rPr>
          <w:rFonts w:hint="eastAsia" w:asciiTheme="minorEastAsia" w:hAnsiTheme="minorEastAsia" w:eastAsiaTheme="minorEastAsia" w:cstheme="minorEastAsia"/>
          <w:sz w:val="28"/>
          <w:szCs w:val="28"/>
          <w:lang w:val="en-US" w:eastAsia="zh-CN"/>
        </w:rPr>
        <w:t>课程</w:t>
      </w:r>
      <w:r>
        <w:rPr>
          <w:rFonts w:hint="eastAsia" w:asciiTheme="minorEastAsia" w:hAnsiTheme="minorEastAsia" w:eastAsiaTheme="minorEastAsia" w:cstheme="minorEastAsia"/>
          <w:sz w:val="28"/>
          <w:szCs w:val="28"/>
          <w:lang w:eastAsia="zh-CN"/>
        </w:rPr>
        <w:t>评估办法，随时对学生进行监控与评价，便于发现学生问题、分析学生问题，更好的解决学生问题。</w:t>
      </w:r>
      <w:r>
        <w:rPr>
          <w:rFonts w:hint="eastAsia" w:asciiTheme="minorEastAsia" w:hAnsiTheme="minorEastAsia" w:eastAsiaTheme="minorEastAsia" w:cstheme="minorEastAsia"/>
          <w:sz w:val="28"/>
          <w:szCs w:val="28"/>
          <w:lang w:val="en-US" w:eastAsia="zh-CN"/>
        </w:rPr>
        <w:t>制定了学生学习预警和帮扶制度，</w:t>
      </w:r>
      <w:r>
        <w:rPr>
          <w:rFonts w:hint="eastAsia" w:asciiTheme="minorEastAsia" w:hAnsiTheme="minorEastAsia" w:eastAsiaTheme="minorEastAsia" w:cstheme="minorEastAsia"/>
          <w:sz w:val="28"/>
          <w:szCs w:val="28"/>
          <w:lang w:eastAsia="zh-CN"/>
        </w:rPr>
        <w:t>教师教学过程中，对不同阶段学生成绩较差学生进行定时预警，并对学习困难学生帮扶，</w:t>
      </w:r>
      <w:r>
        <w:rPr>
          <w:rFonts w:hint="eastAsia" w:asciiTheme="minorEastAsia" w:hAnsiTheme="minorEastAsia" w:eastAsiaTheme="minorEastAsia" w:cstheme="minorEastAsia"/>
          <w:sz w:val="28"/>
          <w:szCs w:val="28"/>
        </w:rPr>
        <w:t>建立学业预警管理档案，督促学生完成学习任务。</w:t>
      </w:r>
      <w:r>
        <w:rPr>
          <w:rFonts w:hint="eastAsia" w:asciiTheme="minorEastAsia" w:hAnsiTheme="minorEastAsia" w:eastAsiaTheme="minorEastAsia" w:cstheme="minorEastAsia"/>
          <w:sz w:val="28"/>
          <w:szCs w:val="28"/>
          <w:lang w:eastAsia="zh-CN"/>
        </w:rPr>
        <w:t>提升了</w:t>
      </w:r>
      <w:r>
        <w:rPr>
          <w:rFonts w:hint="eastAsia" w:asciiTheme="minorEastAsia" w:hAnsiTheme="minorEastAsia" w:eastAsiaTheme="minorEastAsia" w:cstheme="minorEastAsia"/>
          <w:sz w:val="28"/>
          <w:szCs w:val="28"/>
        </w:rPr>
        <w:t>学生的学习热情和学习积极性，培养了学生学习主动性，提升了课堂教学质量和学生的学习效果。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562" w:firstLineChars="200"/>
        <w:jc w:val="left"/>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3.《电机学》课程教学制定了形成性评价体系和持续改进机制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制定了《电机学》课程学生形成性评价体系，对学生电机学的整个学习过程进行跟踪评价，并随时调整教学方法和教学手段，提高学生学习效果。利用</w:t>
      </w:r>
      <w:r>
        <w:rPr>
          <w:rFonts w:hint="eastAsia" w:asciiTheme="minorEastAsia" w:hAnsiTheme="minorEastAsia" w:eastAsiaTheme="minorEastAsia" w:cstheme="minorEastAsia"/>
          <w:sz w:val="28"/>
          <w:szCs w:val="28"/>
          <w:lang w:eastAsia="zh-CN"/>
        </w:rPr>
        <w:t>学生学习过程与</w:t>
      </w:r>
      <w:r>
        <w:rPr>
          <w:rFonts w:hint="eastAsia" w:asciiTheme="minorEastAsia" w:hAnsiTheme="minorEastAsia" w:eastAsiaTheme="minorEastAsia" w:cstheme="minorEastAsia"/>
          <w:sz w:val="28"/>
          <w:szCs w:val="28"/>
          <w:lang w:val="en-US" w:eastAsia="zh-CN"/>
        </w:rPr>
        <w:t>课程</w:t>
      </w:r>
      <w:r>
        <w:rPr>
          <w:rFonts w:hint="eastAsia" w:asciiTheme="minorEastAsia" w:hAnsiTheme="minorEastAsia" w:eastAsiaTheme="minorEastAsia" w:cstheme="minorEastAsia"/>
          <w:sz w:val="28"/>
          <w:szCs w:val="28"/>
          <w:lang w:eastAsia="zh-CN"/>
        </w:rPr>
        <w:t>评估办法，随时对学生进行监控与评价。制定了</w:t>
      </w:r>
      <w:r>
        <w:rPr>
          <w:rFonts w:hint="eastAsia" w:asciiTheme="minorEastAsia" w:hAnsiTheme="minorEastAsia" w:eastAsiaTheme="minorEastAsia" w:cstheme="minorEastAsia"/>
          <w:sz w:val="28"/>
          <w:szCs w:val="28"/>
          <w:lang w:val="en-US" w:eastAsia="zh-CN"/>
        </w:rPr>
        <w:t>持续改进机制，对课程教学进行持续改进，不断优化教学方法，提高课程教学质量。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3EA33"/>
    <w:multiLevelType w:val="singleLevel"/>
    <w:tmpl w:val="F363EA33"/>
    <w:lvl w:ilvl="0" w:tentative="0">
      <w:start w:val="1"/>
      <w:numFmt w:val="decimal"/>
      <w:suff w:val="nothing"/>
      <w:lvlText w:val="（%1）"/>
      <w:lvlJc w:val="left"/>
    </w:lvl>
  </w:abstractNum>
  <w:abstractNum w:abstractNumId="1">
    <w:nsid w:val="1B6A547C"/>
    <w:multiLevelType w:val="singleLevel"/>
    <w:tmpl w:val="1B6A547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ZDEzOTMzYWRkOGViMzBjNmVhZDY5NWQ5YzAxZjAifQ=="/>
  </w:docVars>
  <w:rsids>
    <w:rsidRoot w:val="00000000"/>
    <w:rsid w:val="00A81D22"/>
    <w:rsid w:val="04F73E4E"/>
    <w:rsid w:val="05C2083D"/>
    <w:rsid w:val="10252740"/>
    <w:rsid w:val="12A2050A"/>
    <w:rsid w:val="14BE0C19"/>
    <w:rsid w:val="1A646862"/>
    <w:rsid w:val="1ECB5101"/>
    <w:rsid w:val="1FAF0B6E"/>
    <w:rsid w:val="1FEA77A3"/>
    <w:rsid w:val="21CE3CE3"/>
    <w:rsid w:val="23CC2DBC"/>
    <w:rsid w:val="24CA7B0C"/>
    <w:rsid w:val="26DB7EAB"/>
    <w:rsid w:val="29183639"/>
    <w:rsid w:val="2AC47C8E"/>
    <w:rsid w:val="336F654B"/>
    <w:rsid w:val="39E14AC2"/>
    <w:rsid w:val="3E3D76D1"/>
    <w:rsid w:val="40444E1A"/>
    <w:rsid w:val="41C31810"/>
    <w:rsid w:val="42547326"/>
    <w:rsid w:val="44F87292"/>
    <w:rsid w:val="46A475BE"/>
    <w:rsid w:val="50BB4726"/>
    <w:rsid w:val="52741030"/>
    <w:rsid w:val="53290A19"/>
    <w:rsid w:val="590E5AE2"/>
    <w:rsid w:val="5CB10304"/>
    <w:rsid w:val="5CD35655"/>
    <w:rsid w:val="5E0741A6"/>
    <w:rsid w:val="5F543E6A"/>
    <w:rsid w:val="5FE07D05"/>
    <w:rsid w:val="625531D4"/>
    <w:rsid w:val="64146099"/>
    <w:rsid w:val="66855163"/>
    <w:rsid w:val="67B927C1"/>
    <w:rsid w:val="69692B1A"/>
    <w:rsid w:val="69CE57E5"/>
    <w:rsid w:val="6C8E3109"/>
    <w:rsid w:val="6CE9291E"/>
    <w:rsid w:val="6E847A86"/>
    <w:rsid w:val="6FCD53E1"/>
    <w:rsid w:val="6FE21015"/>
    <w:rsid w:val="70EB6BF0"/>
    <w:rsid w:val="71D32CFF"/>
    <w:rsid w:val="71DB5D29"/>
    <w:rsid w:val="727B3360"/>
    <w:rsid w:val="746422B8"/>
    <w:rsid w:val="753E5360"/>
    <w:rsid w:val="75F23E97"/>
    <w:rsid w:val="7E96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正文1-2"/>
    <w:basedOn w:val="1"/>
    <w:autoRedefine/>
    <w:qFormat/>
    <w:uiPriority w:val="0"/>
    <w:pPr>
      <w:spacing w:beforeLines="100" w:afterLines="100" w:line="360" w:lineRule="auto"/>
      <w:ind w:firstLine="200" w:firstLineChars="200"/>
    </w:pPr>
    <w:rPr>
      <w:rFonts w:eastAsia="楷体_GB2312"/>
      <w:b/>
      <w:sz w:val="24"/>
      <w:szCs w:val="21"/>
      <w:lang w:val="zh-CN"/>
    </w:rPr>
  </w:style>
  <w:style w:type="paragraph" w:customStyle="1" w:styleId="6">
    <w:name w:val="内容"/>
    <w:basedOn w:val="1"/>
    <w:autoRedefine/>
    <w:qFormat/>
    <w:uiPriority w:val="0"/>
    <w:pPr>
      <w:tabs>
        <w:tab w:val="left" w:pos="0"/>
      </w:tabs>
      <w:spacing w:line="360" w:lineRule="auto"/>
      <w:ind w:firstLine="456" w:firstLineChars="200"/>
    </w:pPr>
    <w:rPr>
      <w:rFonts w:ascii="Calibri" w:hAnsi="Calibri" w:eastAsia="楷体_GB2312"/>
      <w:spacing w:val="-6"/>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emf"/><Relationship Id="rId7" Type="http://schemas.openxmlformats.org/officeDocument/2006/relationships/package" Target="embeddings/Microsoft_Visio___1.vsdx"/><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2024-03-22T12:08:00Z</dcterms:created>
  <dc:creator>Administrator</dc:creator>
  <cp:lastModifiedBy>启航EBO</cp:lastModifiedBy>
  <dcterms:modified xsi:type="dcterms:W3CDTF">2024-04-01T01:02:38Z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8913FB7BF349490796CBE1844FC3C407_12</vt:lpwstr>
  </property>
</Properties>
</file>