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B7" w:rsidRDefault="00A50CB7" w:rsidP="00A50CB7">
      <w:pPr>
        <w:wordWrap w:val="0"/>
        <w:spacing w:line="480" w:lineRule="exact"/>
        <w:jc w:val="right"/>
        <w:rPr>
          <w:rFonts w:ascii="仿宋_GB2312" w:eastAsia="仿宋_GB2312" w:hAnsi="黑体" w:cs="黑体"/>
          <w:bCs/>
          <w:kern w:val="10"/>
          <w:sz w:val="24"/>
        </w:rPr>
      </w:pPr>
      <w:r>
        <w:rPr>
          <w:rFonts w:ascii="仿宋_GB2312" w:eastAsia="仿宋_GB2312" w:hAnsi="仿宋_GB2312" w:hint="eastAsia"/>
          <w:color w:val="000000"/>
          <w:sz w:val="24"/>
        </w:rPr>
        <w:t xml:space="preserve">     </w:t>
      </w:r>
      <w:r>
        <w:rPr>
          <w:rFonts w:ascii="仿宋_GB2312" w:eastAsia="仿宋_GB2312" w:hAnsi="黑体" w:cs="黑体" w:hint="eastAsia"/>
          <w:bCs/>
          <w:kern w:val="10"/>
          <w:sz w:val="24"/>
        </w:rPr>
        <w:t xml:space="preserve"> </w:t>
      </w:r>
    </w:p>
    <w:p w:rsidR="00A50CB7" w:rsidRDefault="00A50CB7" w:rsidP="00A50CB7">
      <w:pPr>
        <w:spacing w:line="480" w:lineRule="exact"/>
        <w:jc w:val="right"/>
        <w:rPr>
          <w:rFonts w:ascii="仿宋_GB2312" w:eastAsia="仿宋_GB2312" w:hAnsi="黑体" w:cs="黑体"/>
          <w:bCs/>
          <w:kern w:val="10"/>
          <w:sz w:val="24"/>
        </w:rPr>
      </w:pPr>
    </w:p>
    <w:p w:rsidR="00A50CB7" w:rsidRDefault="00A50CB7" w:rsidP="00A50CB7">
      <w:pPr>
        <w:spacing w:line="480" w:lineRule="exact"/>
        <w:jc w:val="right"/>
        <w:rPr>
          <w:rFonts w:ascii="仿宋_GB2312" w:eastAsia="仿宋_GB2312" w:hAnsi="黑体" w:cs="黑体"/>
          <w:bCs/>
          <w:kern w:val="10"/>
          <w:sz w:val="24"/>
        </w:rPr>
      </w:pPr>
    </w:p>
    <w:p w:rsidR="00A50CB7" w:rsidRDefault="00A50CB7" w:rsidP="00A50CB7">
      <w:pPr>
        <w:spacing w:line="480" w:lineRule="exact"/>
        <w:jc w:val="right"/>
        <w:rPr>
          <w:rFonts w:ascii="仿宋_GB2312" w:eastAsia="仿宋_GB2312" w:hAnsi="黑体" w:cs="黑体"/>
          <w:bCs/>
          <w:kern w:val="10"/>
          <w:sz w:val="24"/>
        </w:rPr>
      </w:pPr>
    </w:p>
    <w:p w:rsidR="00A50CB7" w:rsidRDefault="00A50CB7" w:rsidP="00A50CB7">
      <w:pPr>
        <w:spacing w:line="480" w:lineRule="exact"/>
        <w:jc w:val="right"/>
        <w:rPr>
          <w:rFonts w:ascii="仿宋_GB2312" w:eastAsia="仿宋_GB2312" w:hAnsi="黑体" w:cs="黑体"/>
          <w:bCs/>
          <w:kern w:val="10"/>
          <w:sz w:val="24"/>
        </w:rPr>
      </w:pPr>
    </w:p>
    <w:p w:rsidR="00A50CB7" w:rsidRDefault="00A50CB7" w:rsidP="00A50CB7">
      <w:pPr>
        <w:jc w:val="right"/>
        <w:rPr>
          <w:sz w:val="28"/>
          <w:szCs w:val="28"/>
        </w:rPr>
      </w:pPr>
      <w:r w:rsidRPr="00785E7A">
        <w:rPr>
          <w:rFonts w:ascii="仿宋_GB2312" w:eastAsia="仿宋_GB2312" w:hAnsi="黑体" w:cs="黑体" w:hint="eastAsia"/>
          <w:bCs/>
          <w:kern w:val="10"/>
          <w:sz w:val="24"/>
        </w:rPr>
        <w:t>邵院教通</w:t>
      </w:r>
      <w:r>
        <w:rPr>
          <w:rFonts w:ascii="仿宋_GB2312" w:eastAsia="仿宋_GB2312" w:hAnsi="黑体" w:cs="黑体" w:hint="eastAsia"/>
          <w:bCs/>
          <w:kern w:val="10"/>
          <w:sz w:val="24"/>
        </w:rPr>
        <w:t>〔</w:t>
      </w:r>
      <w:r w:rsidRPr="00785E7A">
        <w:rPr>
          <w:rFonts w:ascii="仿宋_GB2312" w:eastAsia="仿宋_GB2312" w:hAnsi="黑体" w:cs="黑体"/>
          <w:bCs/>
          <w:kern w:val="10"/>
          <w:sz w:val="24"/>
        </w:rPr>
        <w:t>201</w:t>
      </w:r>
      <w:r>
        <w:rPr>
          <w:rFonts w:ascii="仿宋_GB2312" w:eastAsia="仿宋_GB2312" w:hAnsi="黑体" w:cs="黑体" w:hint="eastAsia"/>
          <w:bCs/>
          <w:kern w:val="10"/>
          <w:sz w:val="24"/>
        </w:rPr>
        <w:t>6〕55</w:t>
      </w:r>
      <w:r w:rsidRPr="00785E7A">
        <w:rPr>
          <w:rFonts w:ascii="仿宋_GB2312" w:eastAsia="仿宋_GB2312" w:hAnsi="黑体" w:cs="黑体" w:hint="eastAsia"/>
          <w:bCs/>
          <w:kern w:val="10"/>
          <w:sz w:val="24"/>
        </w:rPr>
        <w:t>号</w:t>
      </w:r>
    </w:p>
    <w:p w:rsidR="004B5FD9" w:rsidRDefault="004B5FD9" w:rsidP="004B5FD9">
      <w:pPr>
        <w:pStyle w:val="a5"/>
        <w:shd w:val="clear" w:color="auto" w:fill="FFFFFF"/>
        <w:spacing w:before="0" w:beforeAutospacing="0" w:after="0" w:afterAutospacing="0"/>
        <w:ind w:firstLine="75"/>
        <w:jc w:val="right"/>
        <w:rPr>
          <w:sz w:val="18"/>
          <w:szCs w:val="18"/>
        </w:rPr>
      </w:pPr>
      <w:r>
        <w:rPr>
          <w:rFonts w:hint="eastAsia"/>
          <w:sz w:val="18"/>
          <w:szCs w:val="18"/>
        </w:rPr>
        <w:t> </w:t>
      </w:r>
    </w:p>
    <w:p w:rsidR="004B5FD9" w:rsidRDefault="004B5FD9" w:rsidP="004B5FD9">
      <w:pPr>
        <w:pStyle w:val="a5"/>
        <w:shd w:val="clear" w:color="auto" w:fill="FFFFFF"/>
        <w:spacing w:before="0" w:beforeAutospacing="0" w:after="0" w:afterAutospacing="0"/>
        <w:ind w:firstLine="75"/>
        <w:jc w:val="center"/>
        <w:rPr>
          <w:sz w:val="18"/>
          <w:szCs w:val="18"/>
        </w:rPr>
      </w:pPr>
      <w:r>
        <w:rPr>
          <w:rFonts w:ascii="黑体" w:eastAsia="黑体" w:hint="eastAsia"/>
          <w:sz w:val="36"/>
          <w:szCs w:val="36"/>
        </w:rPr>
        <w:t>关于公布2016年度邵阳学院教学改革</w:t>
      </w:r>
      <w:r w:rsidR="009064DE">
        <w:rPr>
          <w:rFonts w:ascii="黑体" w:eastAsia="黑体" w:hint="eastAsia"/>
          <w:sz w:val="36"/>
          <w:szCs w:val="36"/>
        </w:rPr>
        <w:t>研究</w:t>
      </w:r>
      <w:r>
        <w:rPr>
          <w:rFonts w:ascii="黑体" w:eastAsia="黑体" w:hint="eastAsia"/>
          <w:sz w:val="36"/>
          <w:szCs w:val="36"/>
        </w:rPr>
        <w:t>项目</w:t>
      </w:r>
    </w:p>
    <w:p w:rsidR="004B5FD9" w:rsidRDefault="004B5FD9" w:rsidP="004B5FD9">
      <w:pPr>
        <w:pStyle w:val="a5"/>
        <w:shd w:val="clear" w:color="auto" w:fill="FFFFFF"/>
        <w:spacing w:before="0" w:beforeAutospacing="0" w:after="0" w:afterAutospacing="0"/>
        <w:ind w:firstLine="75"/>
        <w:jc w:val="center"/>
        <w:rPr>
          <w:sz w:val="18"/>
          <w:szCs w:val="18"/>
        </w:rPr>
      </w:pPr>
      <w:r>
        <w:rPr>
          <w:rFonts w:ascii="黑体" w:eastAsia="黑体" w:hint="eastAsia"/>
          <w:sz w:val="36"/>
          <w:szCs w:val="36"/>
        </w:rPr>
        <w:t>中期检查与结题验收结果的通知</w:t>
      </w:r>
    </w:p>
    <w:p w:rsidR="004B5FD9" w:rsidRDefault="004B5FD9" w:rsidP="004B5FD9">
      <w:pPr>
        <w:pStyle w:val="a5"/>
        <w:shd w:val="clear" w:color="auto" w:fill="FFFFFF"/>
        <w:spacing w:before="0" w:beforeAutospacing="0" w:after="0" w:afterAutospacing="0" w:line="580" w:lineRule="atLeast"/>
        <w:ind w:firstLine="75"/>
        <w:rPr>
          <w:sz w:val="18"/>
          <w:szCs w:val="18"/>
        </w:rPr>
      </w:pPr>
      <w:r>
        <w:rPr>
          <w:rFonts w:hint="eastAsia"/>
          <w:sz w:val="18"/>
          <w:szCs w:val="18"/>
        </w:rPr>
        <w:t> </w:t>
      </w:r>
    </w:p>
    <w:p w:rsidR="004B5FD9" w:rsidRDefault="004B5FD9" w:rsidP="00501690">
      <w:pPr>
        <w:pStyle w:val="a5"/>
        <w:shd w:val="clear" w:color="auto" w:fill="FFFFFF"/>
        <w:spacing w:before="0" w:beforeAutospacing="0" w:after="0" w:afterAutospacing="0" w:line="440" w:lineRule="exact"/>
        <w:ind w:firstLine="75"/>
        <w:rPr>
          <w:sz w:val="18"/>
          <w:szCs w:val="18"/>
        </w:rPr>
      </w:pPr>
      <w:r>
        <w:rPr>
          <w:rFonts w:hint="eastAsia"/>
        </w:rPr>
        <w:t>各单位、各部门：</w:t>
      </w:r>
    </w:p>
    <w:p w:rsidR="00501690" w:rsidRPr="00501690" w:rsidRDefault="004B5FD9" w:rsidP="00501690">
      <w:pPr>
        <w:spacing w:line="440" w:lineRule="exact"/>
        <w:ind w:firstLineChars="196" w:firstLine="412"/>
        <w:rPr>
          <w:rFonts w:ascii="仿宋_GB2312"/>
          <w:color w:val="FF0000"/>
          <w:szCs w:val="32"/>
        </w:rPr>
      </w:pPr>
      <w:r>
        <w:rPr>
          <w:rFonts w:hint="eastAsia"/>
        </w:rPr>
        <w:t>根据湖南省教育厅《</w:t>
      </w:r>
      <w:bookmarkStart w:id="0" w:name="OLE_LINK4"/>
      <w:r w:rsidRPr="00C00CF0">
        <w:rPr>
          <w:rFonts w:hint="eastAsia"/>
        </w:rPr>
        <w:t>关于</w:t>
      </w:r>
      <w:r w:rsidRPr="00C00CF0">
        <w:rPr>
          <w:rFonts w:hint="eastAsia"/>
        </w:rPr>
        <w:t>2016</w:t>
      </w:r>
      <w:r w:rsidRPr="00C00CF0">
        <w:rPr>
          <w:rFonts w:hint="eastAsia"/>
        </w:rPr>
        <w:t>年普通高等学校教学改革研究项目实施工作的通知</w:t>
      </w:r>
      <w:bookmarkEnd w:id="0"/>
      <w:r>
        <w:rPr>
          <w:rFonts w:hint="eastAsia"/>
        </w:rPr>
        <w:t>》（</w:t>
      </w:r>
      <w:proofErr w:type="gramStart"/>
      <w:r>
        <w:rPr>
          <w:rFonts w:hint="eastAsia"/>
        </w:rPr>
        <w:t>湘教通</w:t>
      </w:r>
      <w:proofErr w:type="gramEnd"/>
      <w:r>
        <w:t>[</w:t>
      </w:r>
      <w:r w:rsidRPr="00FC0FED">
        <w:rPr>
          <w:rFonts w:hint="eastAsia"/>
        </w:rPr>
        <w:t>201</w:t>
      </w:r>
      <w:r>
        <w:rPr>
          <w:rFonts w:hint="eastAsia"/>
        </w:rPr>
        <w:t>6</w:t>
      </w:r>
      <w:r>
        <w:t>]</w:t>
      </w:r>
      <w:r>
        <w:rPr>
          <w:rFonts w:hint="eastAsia"/>
        </w:rPr>
        <w:t>202</w:t>
      </w:r>
      <w:r w:rsidRPr="00FC0FED">
        <w:rPr>
          <w:rFonts w:hint="eastAsia"/>
        </w:rPr>
        <w:t>号</w:t>
      </w:r>
      <w:r>
        <w:rPr>
          <w:rFonts w:hint="eastAsia"/>
        </w:rPr>
        <w:t>）和学校《</w:t>
      </w:r>
      <w:r w:rsidRPr="004B5FD9">
        <w:rPr>
          <w:rFonts w:hint="eastAsia"/>
        </w:rPr>
        <w:t>关于开展</w:t>
      </w:r>
      <w:r w:rsidRPr="004B5FD9">
        <w:rPr>
          <w:rFonts w:hint="eastAsia"/>
        </w:rPr>
        <w:t>2016</w:t>
      </w:r>
      <w:r w:rsidRPr="004B5FD9">
        <w:rPr>
          <w:rFonts w:hint="eastAsia"/>
        </w:rPr>
        <w:t>年教学改革研究项目中期检查与结题的通知</w:t>
      </w:r>
      <w:r>
        <w:rPr>
          <w:rFonts w:hint="eastAsia"/>
        </w:rPr>
        <w:t>》（</w:t>
      </w:r>
      <w:r w:rsidRPr="004B5FD9">
        <w:rPr>
          <w:rFonts w:hint="eastAsia"/>
        </w:rPr>
        <w:t>邵院教通</w:t>
      </w:r>
      <w:r w:rsidRPr="004B5FD9">
        <w:rPr>
          <w:rFonts w:hint="eastAsia"/>
        </w:rPr>
        <w:t>[2016]33</w:t>
      </w:r>
      <w:r w:rsidRPr="004B5FD9">
        <w:rPr>
          <w:rFonts w:hint="eastAsia"/>
        </w:rPr>
        <w:t>号</w:t>
      </w:r>
      <w:r>
        <w:rPr>
          <w:rFonts w:hint="eastAsia"/>
        </w:rPr>
        <w:t>）及《邵阳学院教学改革项目立项及其管理办法》要求，学校组织专家对所有在</w:t>
      </w:r>
      <w:proofErr w:type="gramStart"/>
      <w:r>
        <w:rPr>
          <w:rFonts w:hint="eastAsia"/>
        </w:rPr>
        <w:t>研</w:t>
      </w:r>
      <w:proofErr w:type="gramEnd"/>
      <w:r>
        <w:rPr>
          <w:rFonts w:hint="eastAsia"/>
        </w:rPr>
        <w:t>校级、省级教学改革研究项目进行了中期检查与结题验收，现将检查与验收结果予以公布。</w:t>
      </w:r>
      <w:r w:rsidR="003C17F9">
        <w:rPr>
          <w:rFonts w:hint="eastAsia"/>
        </w:rPr>
        <w:t>同时，</w:t>
      </w:r>
      <w:r w:rsidR="003C17F9" w:rsidRPr="00C33239">
        <w:rPr>
          <w:rFonts w:hint="eastAsia"/>
        </w:rPr>
        <w:t>对</w:t>
      </w:r>
      <w:r w:rsidR="00501690" w:rsidRPr="00C33239">
        <w:rPr>
          <w:rFonts w:hint="eastAsia"/>
        </w:rPr>
        <w:t>2011</w:t>
      </w:r>
      <w:r w:rsidR="00501690" w:rsidRPr="00C33239">
        <w:rPr>
          <w:rFonts w:hint="eastAsia"/>
        </w:rPr>
        <w:t>年</w:t>
      </w:r>
      <w:r w:rsidR="003C17F9" w:rsidRPr="00C33239">
        <w:rPr>
          <w:rFonts w:hint="eastAsia"/>
        </w:rPr>
        <w:t>及</w:t>
      </w:r>
      <w:r w:rsidR="00501690" w:rsidRPr="00C33239">
        <w:rPr>
          <w:rFonts w:hint="eastAsia"/>
        </w:rPr>
        <w:t>以前</w:t>
      </w:r>
      <w:r w:rsidR="003C17F9" w:rsidRPr="00C33239">
        <w:rPr>
          <w:rFonts w:hint="eastAsia"/>
        </w:rPr>
        <w:t>立项的且</w:t>
      </w:r>
      <w:r w:rsidR="00501690" w:rsidRPr="00C33239">
        <w:rPr>
          <w:rFonts w:hint="eastAsia"/>
        </w:rPr>
        <w:t>未通过</w:t>
      </w:r>
      <w:r w:rsidR="003C17F9" w:rsidRPr="00C33239">
        <w:rPr>
          <w:rFonts w:hint="eastAsia"/>
        </w:rPr>
        <w:t>本次</w:t>
      </w:r>
      <w:r w:rsidR="00501690" w:rsidRPr="00C33239">
        <w:rPr>
          <w:rFonts w:hint="eastAsia"/>
        </w:rPr>
        <w:t>结题验收的省级教学改革研究项目</w:t>
      </w:r>
      <w:r w:rsidR="003C17F9" w:rsidRPr="00C33239">
        <w:rPr>
          <w:rFonts w:hint="eastAsia"/>
        </w:rPr>
        <w:t>和</w:t>
      </w:r>
      <w:r w:rsidR="00501690" w:rsidRPr="00C33239">
        <w:rPr>
          <w:rFonts w:hint="eastAsia"/>
        </w:rPr>
        <w:t>2012</w:t>
      </w:r>
      <w:r w:rsidR="00501690" w:rsidRPr="00C33239">
        <w:rPr>
          <w:rFonts w:hint="eastAsia"/>
        </w:rPr>
        <w:t>年</w:t>
      </w:r>
      <w:r w:rsidR="003C17F9" w:rsidRPr="00C33239">
        <w:rPr>
          <w:rFonts w:hint="eastAsia"/>
        </w:rPr>
        <w:t>及</w:t>
      </w:r>
      <w:r w:rsidR="00501690" w:rsidRPr="00C33239">
        <w:rPr>
          <w:rFonts w:hint="eastAsia"/>
        </w:rPr>
        <w:t>以前</w:t>
      </w:r>
      <w:r w:rsidR="003C17F9" w:rsidRPr="00C33239">
        <w:rPr>
          <w:rFonts w:hint="eastAsia"/>
        </w:rPr>
        <w:t>立项的且</w:t>
      </w:r>
      <w:r w:rsidR="00501690" w:rsidRPr="00C33239">
        <w:rPr>
          <w:rFonts w:hint="eastAsia"/>
        </w:rPr>
        <w:t>未通过</w:t>
      </w:r>
      <w:r w:rsidR="003C17F9" w:rsidRPr="00C33239">
        <w:rPr>
          <w:rFonts w:hint="eastAsia"/>
        </w:rPr>
        <w:t>本次</w:t>
      </w:r>
      <w:r w:rsidR="00501690" w:rsidRPr="00C33239">
        <w:rPr>
          <w:rFonts w:hint="eastAsia"/>
        </w:rPr>
        <w:t>结题验收的校级教学改革研究项目</w:t>
      </w:r>
      <w:r w:rsidR="003C17F9" w:rsidRPr="00C33239">
        <w:rPr>
          <w:rFonts w:hint="eastAsia"/>
        </w:rPr>
        <w:t>予以撤销。</w:t>
      </w:r>
      <w:r w:rsidR="00501690" w:rsidRPr="00C33239">
        <w:rPr>
          <w:rFonts w:ascii="仿宋_GB2312" w:hint="eastAsia"/>
          <w:szCs w:val="32"/>
        </w:rPr>
        <w:t>凡被撤销的项目，项目主持人</w:t>
      </w:r>
      <w:r w:rsidR="00501690" w:rsidRPr="00C33239">
        <w:rPr>
          <w:rFonts w:ascii="仿宋_GB2312" w:hint="eastAsia"/>
          <w:szCs w:val="32"/>
        </w:rPr>
        <w:t>3</w:t>
      </w:r>
      <w:r w:rsidR="00501690" w:rsidRPr="00C33239">
        <w:rPr>
          <w:rFonts w:ascii="仿宋_GB2312" w:hint="eastAsia"/>
          <w:szCs w:val="32"/>
        </w:rPr>
        <w:t>年内不得申报项目。</w:t>
      </w:r>
    </w:p>
    <w:p w:rsidR="004B5FD9" w:rsidRPr="009064DE" w:rsidRDefault="00501690" w:rsidP="009064DE">
      <w:pPr>
        <w:spacing w:line="460" w:lineRule="exact"/>
        <w:jc w:val="left"/>
      </w:pPr>
      <w:r>
        <w:rPr>
          <w:rFonts w:hint="eastAsia"/>
        </w:rPr>
        <w:t>。</w:t>
      </w:r>
    </w:p>
    <w:p w:rsidR="004B5FD9" w:rsidRDefault="004B5FD9" w:rsidP="004B5FD9">
      <w:pPr>
        <w:pStyle w:val="a5"/>
        <w:shd w:val="clear" w:color="auto" w:fill="FFFFFF"/>
        <w:spacing w:before="0" w:beforeAutospacing="0" w:after="0" w:afterAutospacing="0" w:line="580" w:lineRule="atLeast"/>
        <w:ind w:firstLine="480"/>
        <w:rPr>
          <w:sz w:val="18"/>
          <w:szCs w:val="18"/>
        </w:rPr>
      </w:pPr>
      <w:r>
        <w:rPr>
          <w:rFonts w:hint="eastAsia"/>
          <w:sz w:val="18"/>
          <w:szCs w:val="18"/>
        </w:rPr>
        <w:t> </w:t>
      </w:r>
    </w:p>
    <w:p w:rsidR="004B5FD9" w:rsidRPr="006423EB" w:rsidRDefault="004B5FD9" w:rsidP="004B5FD9">
      <w:pPr>
        <w:pStyle w:val="a5"/>
        <w:shd w:val="clear" w:color="auto" w:fill="FFFFFF"/>
        <w:spacing w:before="0" w:beforeAutospacing="0" w:after="0" w:afterAutospacing="0" w:line="580" w:lineRule="atLeast"/>
        <w:ind w:firstLine="480"/>
        <w:rPr>
          <w:rFonts w:asciiTheme="minorHAnsi" w:eastAsiaTheme="minorEastAsia" w:hAnsiTheme="minorHAnsi" w:cstheme="minorBidi"/>
          <w:kern w:val="2"/>
          <w:sz w:val="21"/>
          <w:szCs w:val="22"/>
        </w:rPr>
      </w:pPr>
      <w:r w:rsidRPr="006423EB">
        <w:rPr>
          <w:rFonts w:asciiTheme="minorHAnsi" w:eastAsiaTheme="minorEastAsia" w:hAnsiTheme="minorHAnsi" w:cstheme="minorBidi" w:hint="eastAsia"/>
          <w:kern w:val="2"/>
          <w:sz w:val="21"/>
          <w:szCs w:val="22"/>
        </w:rPr>
        <w:t>附件</w:t>
      </w:r>
      <w:r w:rsidRPr="006423EB">
        <w:rPr>
          <w:rFonts w:asciiTheme="minorHAnsi" w:eastAsiaTheme="minorEastAsia" w:hAnsiTheme="minorHAnsi" w:cstheme="minorBidi" w:hint="eastAsia"/>
          <w:kern w:val="2"/>
          <w:sz w:val="21"/>
          <w:szCs w:val="22"/>
        </w:rPr>
        <w:t>1</w:t>
      </w:r>
      <w:r w:rsidRPr="006423EB">
        <w:rPr>
          <w:rFonts w:asciiTheme="minorHAnsi" w:eastAsiaTheme="minorEastAsia" w:hAnsiTheme="minorHAnsi" w:cstheme="minorBidi" w:hint="eastAsia"/>
          <w:kern w:val="2"/>
          <w:sz w:val="21"/>
          <w:szCs w:val="22"/>
        </w:rPr>
        <w:t>：</w:t>
      </w:r>
      <w:r w:rsidRPr="006423EB">
        <w:rPr>
          <w:rFonts w:asciiTheme="minorHAnsi" w:eastAsiaTheme="minorEastAsia" w:hAnsiTheme="minorHAnsi" w:cstheme="minorBidi" w:hint="eastAsia"/>
          <w:kern w:val="2"/>
          <w:sz w:val="21"/>
          <w:szCs w:val="22"/>
        </w:rPr>
        <w:t>2016</w:t>
      </w:r>
      <w:r w:rsidRPr="006423EB">
        <w:rPr>
          <w:rFonts w:asciiTheme="minorHAnsi" w:eastAsiaTheme="minorEastAsia" w:hAnsiTheme="minorHAnsi" w:cstheme="minorBidi" w:hint="eastAsia"/>
          <w:kern w:val="2"/>
          <w:sz w:val="21"/>
          <w:szCs w:val="22"/>
        </w:rPr>
        <w:t>年度邵阳学院教学改革</w:t>
      </w:r>
      <w:r w:rsidR="009064DE" w:rsidRPr="006423EB">
        <w:rPr>
          <w:rFonts w:asciiTheme="minorHAnsi" w:eastAsiaTheme="minorEastAsia" w:hAnsiTheme="minorHAnsi" w:cstheme="minorBidi" w:hint="eastAsia"/>
          <w:kern w:val="2"/>
          <w:sz w:val="21"/>
          <w:szCs w:val="22"/>
        </w:rPr>
        <w:t>研究</w:t>
      </w:r>
      <w:r w:rsidRPr="006423EB">
        <w:rPr>
          <w:rFonts w:asciiTheme="minorHAnsi" w:eastAsiaTheme="minorEastAsia" w:hAnsiTheme="minorHAnsi" w:cstheme="minorBidi" w:hint="eastAsia"/>
          <w:kern w:val="2"/>
          <w:sz w:val="21"/>
          <w:szCs w:val="22"/>
        </w:rPr>
        <w:t>项目结题验收结果汇总表</w:t>
      </w:r>
    </w:p>
    <w:p w:rsidR="004B5FD9" w:rsidRPr="006423EB" w:rsidRDefault="004B5FD9" w:rsidP="004B5FD9">
      <w:pPr>
        <w:pStyle w:val="a5"/>
        <w:shd w:val="clear" w:color="auto" w:fill="FFFFFF"/>
        <w:spacing w:before="0" w:beforeAutospacing="0" w:after="0" w:afterAutospacing="0" w:line="580" w:lineRule="atLeast"/>
        <w:ind w:firstLine="480"/>
        <w:rPr>
          <w:rFonts w:asciiTheme="minorHAnsi" w:eastAsiaTheme="minorEastAsia" w:hAnsiTheme="minorHAnsi" w:cstheme="minorBidi"/>
          <w:kern w:val="2"/>
          <w:sz w:val="21"/>
          <w:szCs w:val="22"/>
        </w:rPr>
      </w:pPr>
      <w:r w:rsidRPr="006423EB">
        <w:rPr>
          <w:rFonts w:asciiTheme="minorHAnsi" w:eastAsiaTheme="minorEastAsia" w:hAnsiTheme="minorHAnsi" w:cstheme="minorBidi" w:hint="eastAsia"/>
          <w:kern w:val="2"/>
          <w:sz w:val="21"/>
          <w:szCs w:val="22"/>
        </w:rPr>
        <w:t>附件</w:t>
      </w:r>
      <w:r w:rsidRPr="006423EB">
        <w:rPr>
          <w:rFonts w:asciiTheme="minorHAnsi" w:eastAsiaTheme="minorEastAsia" w:hAnsiTheme="minorHAnsi" w:cstheme="minorBidi" w:hint="eastAsia"/>
          <w:kern w:val="2"/>
          <w:sz w:val="21"/>
          <w:szCs w:val="22"/>
        </w:rPr>
        <w:t>2</w:t>
      </w:r>
      <w:r w:rsidRPr="006423EB">
        <w:rPr>
          <w:rFonts w:asciiTheme="minorHAnsi" w:eastAsiaTheme="minorEastAsia" w:hAnsiTheme="minorHAnsi" w:cstheme="minorBidi" w:hint="eastAsia"/>
          <w:kern w:val="2"/>
          <w:sz w:val="21"/>
          <w:szCs w:val="22"/>
        </w:rPr>
        <w:t>：</w:t>
      </w:r>
      <w:r w:rsidRPr="006423EB">
        <w:rPr>
          <w:rFonts w:asciiTheme="minorHAnsi" w:eastAsiaTheme="minorEastAsia" w:hAnsiTheme="minorHAnsi" w:cstheme="minorBidi" w:hint="eastAsia"/>
          <w:kern w:val="2"/>
          <w:sz w:val="21"/>
          <w:szCs w:val="22"/>
        </w:rPr>
        <w:t>2016</w:t>
      </w:r>
      <w:r w:rsidRPr="006423EB">
        <w:rPr>
          <w:rFonts w:asciiTheme="minorHAnsi" w:eastAsiaTheme="minorEastAsia" w:hAnsiTheme="minorHAnsi" w:cstheme="minorBidi" w:hint="eastAsia"/>
          <w:kern w:val="2"/>
          <w:sz w:val="21"/>
          <w:szCs w:val="22"/>
        </w:rPr>
        <w:t>年度邵阳学院教学改革</w:t>
      </w:r>
      <w:r w:rsidR="009064DE" w:rsidRPr="006423EB">
        <w:rPr>
          <w:rFonts w:asciiTheme="minorHAnsi" w:eastAsiaTheme="minorEastAsia" w:hAnsiTheme="minorHAnsi" w:cstheme="minorBidi" w:hint="eastAsia"/>
          <w:kern w:val="2"/>
          <w:sz w:val="21"/>
          <w:szCs w:val="22"/>
        </w:rPr>
        <w:t>研究</w:t>
      </w:r>
      <w:r w:rsidRPr="006423EB">
        <w:rPr>
          <w:rFonts w:asciiTheme="minorHAnsi" w:eastAsiaTheme="minorEastAsia" w:hAnsiTheme="minorHAnsi" w:cstheme="minorBidi" w:hint="eastAsia"/>
          <w:kern w:val="2"/>
          <w:sz w:val="21"/>
          <w:szCs w:val="22"/>
        </w:rPr>
        <w:t>项目中期检查结果汇总表</w:t>
      </w:r>
    </w:p>
    <w:p w:rsidR="00E51B28" w:rsidRDefault="00501690">
      <w:r>
        <w:rPr>
          <w:rFonts w:hint="eastAsia"/>
        </w:rPr>
        <w:t>:</w:t>
      </w:r>
    </w:p>
    <w:p w:rsidR="002F473D" w:rsidRDefault="002F473D"/>
    <w:p w:rsidR="002F473D" w:rsidRDefault="002F473D"/>
    <w:p w:rsidR="002F473D" w:rsidRPr="002F473D" w:rsidRDefault="002F473D">
      <w:pPr>
        <w:rPr>
          <w:rFonts w:ascii="楷体" w:eastAsia="楷体" w:hAnsi="楷体"/>
          <w:sz w:val="28"/>
          <w:szCs w:val="28"/>
        </w:rPr>
      </w:pPr>
      <w:r>
        <w:rPr>
          <w:rFonts w:hint="eastAsia"/>
        </w:rPr>
        <w:t xml:space="preserve">                                                            </w:t>
      </w:r>
      <w:r w:rsidRPr="002F473D">
        <w:rPr>
          <w:rFonts w:ascii="楷体" w:eastAsia="楷体" w:hAnsi="楷体" w:hint="eastAsia"/>
          <w:sz w:val="28"/>
          <w:szCs w:val="28"/>
        </w:rPr>
        <w:t>邵阳学院教务处</w:t>
      </w:r>
    </w:p>
    <w:p w:rsidR="002F473D" w:rsidRDefault="002F473D">
      <w:pPr>
        <w:rPr>
          <w:rFonts w:hint="eastAsia"/>
          <w:sz w:val="24"/>
          <w:szCs w:val="24"/>
        </w:rPr>
      </w:pPr>
      <w:r>
        <w:rPr>
          <w:rFonts w:hint="eastAsia"/>
        </w:rPr>
        <w:t xml:space="preserve">                                                             </w:t>
      </w:r>
      <w:r w:rsidRPr="002F473D">
        <w:rPr>
          <w:rFonts w:hint="eastAsia"/>
          <w:sz w:val="24"/>
          <w:szCs w:val="24"/>
        </w:rPr>
        <w:t xml:space="preserve"> 2016</w:t>
      </w:r>
      <w:r w:rsidRPr="002F473D">
        <w:rPr>
          <w:rFonts w:hint="eastAsia"/>
          <w:sz w:val="24"/>
          <w:szCs w:val="24"/>
        </w:rPr>
        <w:t>年</w:t>
      </w:r>
      <w:r w:rsidRPr="002F473D">
        <w:rPr>
          <w:rFonts w:hint="eastAsia"/>
          <w:sz w:val="24"/>
          <w:szCs w:val="24"/>
        </w:rPr>
        <w:t>7</w:t>
      </w:r>
      <w:r w:rsidRPr="002F473D">
        <w:rPr>
          <w:rFonts w:hint="eastAsia"/>
          <w:sz w:val="24"/>
          <w:szCs w:val="24"/>
        </w:rPr>
        <w:t>月</w:t>
      </w:r>
      <w:r w:rsidRPr="002F473D">
        <w:rPr>
          <w:rFonts w:hint="eastAsia"/>
          <w:sz w:val="24"/>
          <w:szCs w:val="24"/>
        </w:rPr>
        <w:t>5</w:t>
      </w:r>
      <w:r w:rsidRPr="002F473D">
        <w:rPr>
          <w:rFonts w:hint="eastAsia"/>
          <w:sz w:val="24"/>
          <w:szCs w:val="24"/>
        </w:rPr>
        <w:t>日</w:t>
      </w:r>
    </w:p>
    <w:p w:rsidR="00C0356F" w:rsidRDefault="00C0356F">
      <w:pPr>
        <w:rPr>
          <w:rFonts w:hint="eastAsia"/>
          <w:sz w:val="24"/>
          <w:szCs w:val="24"/>
        </w:rPr>
      </w:pPr>
    </w:p>
    <w:p w:rsidR="00C0356F" w:rsidRDefault="00C0356F">
      <w:pPr>
        <w:rPr>
          <w:rFonts w:hint="eastAsia"/>
          <w:sz w:val="24"/>
          <w:szCs w:val="24"/>
        </w:rPr>
      </w:pPr>
    </w:p>
    <w:p w:rsidR="00C0356F" w:rsidRDefault="00C0356F">
      <w:pPr>
        <w:rPr>
          <w:rFonts w:hint="eastAsia"/>
          <w:sz w:val="24"/>
          <w:szCs w:val="24"/>
        </w:rPr>
      </w:pPr>
    </w:p>
    <w:p w:rsidR="00C0356F" w:rsidRDefault="00C0356F">
      <w:pPr>
        <w:rPr>
          <w:rFonts w:hint="eastAsia"/>
          <w:sz w:val="24"/>
          <w:szCs w:val="24"/>
        </w:rPr>
      </w:pPr>
    </w:p>
    <w:p w:rsidR="00C0356F" w:rsidRDefault="00C0356F" w:rsidP="00C0356F">
      <w:pPr>
        <w:rPr>
          <w:rFonts w:ascii="宋体" w:hAnsi="宋体" w:hint="eastAsia"/>
          <w:sz w:val="24"/>
        </w:rPr>
      </w:pPr>
      <w:r>
        <w:rPr>
          <w:rFonts w:ascii="宋体" w:hAnsi="宋体" w:hint="eastAsia"/>
          <w:sz w:val="24"/>
        </w:rPr>
        <w:lastRenderedPageBreak/>
        <w:t>附件1</w:t>
      </w:r>
    </w:p>
    <w:p w:rsidR="00C0356F" w:rsidRPr="00645F95" w:rsidRDefault="00C0356F" w:rsidP="00C0356F">
      <w:pPr>
        <w:jc w:val="center"/>
        <w:rPr>
          <w:rFonts w:ascii="宋体" w:hAnsi="宋体"/>
          <w:b/>
          <w:sz w:val="28"/>
          <w:szCs w:val="28"/>
        </w:rPr>
      </w:pPr>
      <w:r w:rsidRPr="00645F95">
        <w:rPr>
          <w:rFonts w:ascii="宋体" w:hAnsi="宋体" w:hint="eastAsia"/>
          <w:b/>
          <w:sz w:val="28"/>
          <w:szCs w:val="28"/>
        </w:rPr>
        <w:t>201</w:t>
      </w:r>
      <w:r>
        <w:rPr>
          <w:rFonts w:ascii="宋体" w:hAnsi="宋体" w:hint="eastAsia"/>
          <w:b/>
          <w:sz w:val="28"/>
          <w:szCs w:val="28"/>
        </w:rPr>
        <w:t>6</w:t>
      </w:r>
      <w:r w:rsidRPr="00645F95">
        <w:rPr>
          <w:rFonts w:ascii="宋体" w:hAnsi="宋体" w:hint="eastAsia"/>
          <w:b/>
          <w:sz w:val="28"/>
          <w:szCs w:val="28"/>
        </w:rPr>
        <w:t>年度邵阳学院教学改革</w:t>
      </w:r>
      <w:r>
        <w:rPr>
          <w:rFonts w:ascii="宋体" w:hAnsi="宋体" w:hint="eastAsia"/>
          <w:b/>
          <w:sz w:val="28"/>
          <w:szCs w:val="28"/>
        </w:rPr>
        <w:t>研究</w:t>
      </w:r>
      <w:r w:rsidRPr="00645F95">
        <w:rPr>
          <w:rFonts w:ascii="宋体" w:hAnsi="宋体" w:hint="eastAsia"/>
          <w:b/>
          <w:sz w:val="28"/>
          <w:szCs w:val="28"/>
        </w:rPr>
        <w:t>项目结题验收结果汇总表</w:t>
      </w:r>
    </w:p>
    <w:p w:rsidR="00C0356F" w:rsidRPr="000E49DE" w:rsidRDefault="00C0356F" w:rsidP="00C0356F">
      <w:pPr>
        <w:rPr>
          <w:rFonts w:ascii="宋体" w:hAnsi="宋体" w:hint="eastAsia"/>
          <w:sz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187"/>
        <w:gridCol w:w="992"/>
        <w:gridCol w:w="1076"/>
        <w:gridCol w:w="964"/>
      </w:tblGrid>
      <w:tr w:rsidR="00C0356F" w:rsidRPr="00B17A11" w:rsidTr="00167545">
        <w:trPr>
          <w:trHeight w:val="624"/>
          <w:jc w:val="center"/>
        </w:trPr>
        <w:tc>
          <w:tcPr>
            <w:tcW w:w="426"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序号</w:t>
            </w:r>
          </w:p>
        </w:tc>
        <w:tc>
          <w:tcPr>
            <w:tcW w:w="5187"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992"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1076" w:type="dxa"/>
          </w:tcPr>
          <w:p w:rsidR="00C0356F" w:rsidRDefault="00C0356F" w:rsidP="00167545">
            <w:pPr>
              <w:jc w:val="center"/>
              <w:rPr>
                <w:rFonts w:ascii="宋体" w:hAnsi="宋体" w:cs="宋体" w:hint="eastAsia"/>
                <w:szCs w:val="21"/>
              </w:rPr>
            </w:pPr>
            <w:r>
              <w:rPr>
                <w:rFonts w:ascii="宋体" w:hAnsi="宋体" w:cs="宋体" w:hint="eastAsia"/>
                <w:szCs w:val="21"/>
              </w:rPr>
              <w:t>立项</w:t>
            </w:r>
          </w:p>
          <w:p w:rsidR="00C0356F" w:rsidRPr="00B17A11" w:rsidRDefault="00C0356F" w:rsidP="00167545">
            <w:pPr>
              <w:jc w:val="center"/>
              <w:rPr>
                <w:rFonts w:ascii="宋体" w:hAnsi="宋体" w:cs="宋体" w:hint="eastAsia"/>
                <w:szCs w:val="21"/>
              </w:rPr>
            </w:pPr>
            <w:r>
              <w:rPr>
                <w:rFonts w:ascii="宋体" w:hAnsi="宋体" w:cs="宋体" w:hint="eastAsia"/>
                <w:szCs w:val="21"/>
              </w:rPr>
              <w:t>年份</w:t>
            </w:r>
          </w:p>
        </w:tc>
        <w:tc>
          <w:tcPr>
            <w:tcW w:w="964" w:type="dxa"/>
            <w:shd w:val="clear" w:color="auto" w:fill="auto"/>
            <w:vAlign w:val="center"/>
          </w:tcPr>
          <w:p w:rsidR="00C0356F" w:rsidRDefault="00C0356F" w:rsidP="00167545">
            <w:pPr>
              <w:jc w:val="center"/>
              <w:rPr>
                <w:rFonts w:ascii="宋体" w:hAnsi="宋体" w:cs="宋体" w:hint="eastAsia"/>
                <w:szCs w:val="21"/>
              </w:rPr>
            </w:pPr>
            <w:r w:rsidRPr="00B17A11">
              <w:rPr>
                <w:rFonts w:ascii="宋体" w:hAnsi="宋体" w:cs="宋体" w:hint="eastAsia"/>
                <w:szCs w:val="21"/>
              </w:rPr>
              <w:t>验收</w:t>
            </w:r>
          </w:p>
          <w:p w:rsidR="00C0356F" w:rsidRPr="00B17A11" w:rsidRDefault="00C0356F" w:rsidP="00167545">
            <w:pPr>
              <w:jc w:val="center"/>
              <w:rPr>
                <w:rFonts w:ascii="宋体" w:hAnsi="宋体" w:cs="宋体"/>
                <w:szCs w:val="21"/>
              </w:rPr>
            </w:pPr>
            <w:r w:rsidRPr="00B17A11">
              <w:rPr>
                <w:rFonts w:ascii="宋体" w:hAnsi="宋体" w:cs="宋体" w:hint="eastAsia"/>
                <w:szCs w:val="21"/>
              </w:rPr>
              <w:t>结论</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w:t>
            </w:r>
          </w:p>
        </w:tc>
        <w:tc>
          <w:tcPr>
            <w:tcW w:w="5187"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地方院校大学生心理健康教育创新模式研究与实践</w:t>
            </w:r>
          </w:p>
        </w:tc>
        <w:tc>
          <w:tcPr>
            <w:tcW w:w="9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贺婧雯</w:t>
            </w:r>
          </w:p>
        </w:tc>
        <w:tc>
          <w:tcPr>
            <w:tcW w:w="1076" w:type="dxa"/>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2014</w:t>
            </w:r>
          </w:p>
        </w:tc>
        <w:tc>
          <w:tcPr>
            <w:tcW w:w="964"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w:t>
            </w:r>
          </w:p>
        </w:tc>
        <w:tc>
          <w:tcPr>
            <w:tcW w:w="5187"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材料力学课程研讨式教学方法改革实践与研究</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胡玮军</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3</w:t>
            </w:r>
          </w:p>
        </w:tc>
        <w:tc>
          <w:tcPr>
            <w:tcW w:w="5187"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《工程测试技术》课程教学体系改革及实践</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曾娣平</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w:t>
            </w:r>
          </w:p>
        </w:tc>
        <w:tc>
          <w:tcPr>
            <w:tcW w:w="5187" w:type="dxa"/>
            <w:shd w:val="clear" w:color="auto" w:fill="auto"/>
            <w:vAlign w:val="center"/>
          </w:tcPr>
          <w:p w:rsidR="00C0356F" w:rsidRPr="006F5C36" w:rsidRDefault="00C0356F" w:rsidP="00167545">
            <w:pPr>
              <w:spacing w:line="240" w:lineRule="exact"/>
              <w:ind w:left="360"/>
              <w:jc w:val="center"/>
              <w:rPr>
                <w:rFonts w:ascii="宋体" w:hAnsi="宋体"/>
                <w:szCs w:val="21"/>
              </w:rPr>
            </w:pPr>
            <w:r>
              <w:rPr>
                <w:rFonts w:ascii="宋体" w:hAnsi="宋体" w:hint="eastAsia"/>
                <w:szCs w:val="21"/>
              </w:rPr>
              <w:t>《产品技术创新》课程建设与创新人才培养的理论与实践</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李颖</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5</w:t>
            </w:r>
          </w:p>
        </w:tc>
        <w:tc>
          <w:tcPr>
            <w:tcW w:w="5187"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《输电线路施工》课程教学体系改革与实践</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邹长春</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6</w:t>
            </w:r>
          </w:p>
        </w:tc>
        <w:tc>
          <w:tcPr>
            <w:tcW w:w="5187"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电路课程教学体系研究与改革</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李海娜</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7</w:t>
            </w:r>
          </w:p>
        </w:tc>
        <w:tc>
          <w:tcPr>
            <w:tcW w:w="5187"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基于创新型人才培养的机械</w:t>
            </w:r>
            <w:proofErr w:type="gramStart"/>
            <w:r>
              <w:rPr>
                <w:rFonts w:ascii="宋体" w:hAnsi="宋体" w:hint="eastAsia"/>
                <w:szCs w:val="21"/>
              </w:rPr>
              <w:t>类实践</w:t>
            </w:r>
            <w:proofErr w:type="gramEnd"/>
            <w:r>
              <w:rPr>
                <w:rFonts w:ascii="宋体" w:hAnsi="宋体" w:hint="eastAsia"/>
                <w:szCs w:val="21"/>
              </w:rPr>
              <w:t>教学模式研究与实践---以邵阳学院为例</w:t>
            </w:r>
          </w:p>
        </w:tc>
        <w:tc>
          <w:tcPr>
            <w:tcW w:w="992"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张桂菊</w:t>
            </w:r>
            <w:proofErr w:type="gramEnd"/>
          </w:p>
        </w:tc>
        <w:tc>
          <w:tcPr>
            <w:tcW w:w="1076" w:type="dxa"/>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8</w:t>
            </w:r>
          </w:p>
        </w:tc>
        <w:tc>
          <w:tcPr>
            <w:tcW w:w="5187" w:type="dxa"/>
            <w:shd w:val="clear" w:color="auto" w:fill="auto"/>
            <w:vAlign w:val="center"/>
          </w:tcPr>
          <w:p w:rsidR="00C0356F" w:rsidRPr="006F5C36" w:rsidRDefault="00C0356F" w:rsidP="00167545">
            <w:pPr>
              <w:spacing w:line="240" w:lineRule="exact"/>
              <w:jc w:val="center"/>
              <w:rPr>
                <w:rFonts w:ascii="宋体" w:hAnsi="宋体"/>
                <w:bCs/>
                <w:szCs w:val="21"/>
              </w:rPr>
            </w:pPr>
            <w:r>
              <w:rPr>
                <w:rFonts w:ascii="宋体" w:hAnsi="宋体" w:hint="eastAsia"/>
                <w:bCs/>
                <w:szCs w:val="21"/>
              </w:rPr>
              <w:t>能源与动力工程专业实践教学环节改革的研究与实践</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周东</w:t>
            </w:r>
            <w:proofErr w:type="gramStart"/>
            <w:r>
              <w:rPr>
                <w:rFonts w:ascii="宋体" w:hAnsi="宋体" w:hint="eastAsia"/>
                <w:szCs w:val="21"/>
              </w:rPr>
              <w:t>一</w:t>
            </w:r>
            <w:proofErr w:type="gramEnd"/>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9</w:t>
            </w:r>
          </w:p>
        </w:tc>
        <w:tc>
          <w:tcPr>
            <w:tcW w:w="5187" w:type="dxa"/>
            <w:shd w:val="clear" w:color="auto" w:fill="auto"/>
            <w:vAlign w:val="center"/>
          </w:tcPr>
          <w:p w:rsidR="00C0356F" w:rsidRPr="000423C6" w:rsidRDefault="00C0356F" w:rsidP="00167545">
            <w:pPr>
              <w:spacing w:line="240" w:lineRule="exact"/>
              <w:jc w:val="center"/>
              <w:rPr>
                <w:rFonts w:ascii="宋体" w:hAnsi="宋体" w:cs="宋体" w:hint="eastAsia"/>
                <w:szCs w:val="21"/>
              </w:rPr>
            </w:pPr>
            <w:r>
              <w:rPr>
                <w:rFonts w:ascii="宋体" w:hAnsi="宋体" w:cs="宋体" w:hint="eastAsia"/>
                <w:szCs w:val="21"/>
              </w:rPr>
              <w:t>地方院校机械动力类本科专业毕业设计质量手册编制与应用</w:t>
            </w:r>
          </w:p>
        </w:tc>
        <w:tc>
          <w:tcPr>
            <w:tcW w:w="992" w:type="dxa"/>
            <w:shd w:val="clear" w:color="auto" w:fill="auto"/>
            <w:vAlign w:val="center"/>
          </w:tcPr>
          <w:p w:rsidR="00C0356F" w:rsidRPr="000423C6" w:rsidRDefault="00C0356F" w:rsidP="00167545">
            <w:pPr>
              <w:spacing w:line="240" w:lineRule="exact"/>
              <w:jc w:val="center"/>
              <w:rPr>
                <w:rFonts w:ascii="宋体" w:hAnsi="宋体" w:cs="宋体" w:hint="eastAsia"/>
                <w:szCs w:val="21"/>
              </w:rPr>
            </w:pPr>
            <w:proofErr w:type="gramStart"/>
            <w:r>
              <w:rPr>
                <w:rFonts w:ascii="宋体" w:hAnsi="宋体" w:cs="宋体" w:hint="eastAsia"/>
                <w:szCs w:val="21"/>
              </w:rPr>
              <w:t>李梦奇</w:t>
            </w:r>
            <w:proofErr w:type="gramEnd"/>
          </w:p>
        </w:tc>
        <w:tc>
          <w:tcPr>
            <w:tcW w:w="1076" w:type="dxa"/>
            <w:vAlign w:val="center"/>
          </w:tcPr>
          <w:p w:rsidR="00C0356F" w:rsidRPr="000423C6" w:rsidRDefault="00C0356F" w:rsidP="00167545">
            <w:pPr>
              <w:spacing w:line="240" w:lineRule="exact"/>
              <w:jc w:val="center"/>
              <w:rPr>
                <w:rFonts w:ascii="宋体" w:hAnsi="宋体" w:cs="宋体" w:hint="eastAsia"/>
                <w:szCs w:val="21"/>
              </w:rPr>
            </w:pPr>
            <w:r>
              <w:rPr>
                <w:rFonts w:ascii="宋体" w:hAnsi="宋体" w:cs="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10</w:t>
            </w:r>
          </w:p>
        </w:tc>
        <w:tc>
          <w:tcPr>
            <w:tcW w:w="5187"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《中国近代史纲要》主体</w:t>
            </w:r>
            <w:proofErr w:type="gramStart"/>
            <w:r>
              <w:rPr>
                <w:rFonts w:ascii="宋体" w:hAnsi="宋体" w:hint="eastAsia"/>
                <w:szCs w:val="21"/>
              </w:rPr>
              <w:t>性教学</w:t>
            </w:r>
            <w:proofErr w:type="gramEnd"/>
            <w:r>
              <w:rPr>
                <w:rFonts w:ascii="宋体" w:hAnsi="宋体" w:hint="eastAsia"/>
                <w:szCs w:val="21"/>
              </w:rPr>
              <w:t>改革模式研究</w:t>
            </w:r>
          </w:p>
        </w:tc>
        <w:tc>
          <w:tcPr>
            <w:tcW w:w="992" w:type="dxa"/>
            <w:shd w:val="clear" w:color="auto" w:fill="auto"/>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王婷婷</w:t>
            </w:r>
          </w:p>
        </w:tc>
        <w:tc>
          <w:tcPr>
            <w:tcW w:w="1076" w:type="dxa"/>
            <w:vAlign w:val="center"/>
          </w:tcPr>
          <w:p w:rsidR="00C0356F" w:rsidRPr="006F5C36" w:rsidRDefault="00C0356F" w:rsidP="00167545">
            <w:pPr>
              <w:spacing w:line="240" w:lineRule="exact"/>
              <w:jc w:val="center"/>
              <w:rPr>
                <w:rFonts w:ascii="宋体" w:hAnsi="宋体"/>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11</w:t>
            </w:r>
          </w:p>
        </w:tc>
        <w:tc>
          <w:tcPr>
            <w:tcW w:w="5187"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现代教育背景下普通高等院校音乐专业钢琴教育应用型人才培养模式研究</w:t>
            </w:r>
          </w:p>
        </w:tc>
        <w:tc>
          <w:tcPr>
            <w:tcW w:w="992" w:type="dxa"/>
            <w:shd w:val="clear" w:color="auto" w:fill="auto"/>
            <w:vAlign w:val="center"/>
          </w:tcPr>
          <w:p w:rsidR="00C0356F" w:rsidRPr="006F5C36" w:rsidRDefault="00C0356F" w:rsidP="00167545">
            <w:pPr>
              <w:spacing w:line="240" w:lineRule="exact"/>
              <w:jc w:val="center"/>
              <w:rPr>
                <w:rFonts w:ascii="宋体" w:hAnsi="宋体" w:hint="eastAsia"/>
                <w:szCs w:val="21"/>
              </w:rPr>
            </w:pPr>
            <w:proofErr w:type="gramStart"/>
            <w:r>
              <w:rPr>
                <w:rFonts w:ascii="宋体" w:hAnsi="宋体" w:hint="eastAsia"/>
                <w:szCs w:val="21"/>
              </w:rPr>
              <w:t>刘兴可</w:t>
            </w:r>
            <w:proofErr w:type="gramEnd"/>
          </w:p>
        </w:tc>
        <w:tc>
          <w:tcPr>
            <w:tcW w:w="1076" w:type="dxa"/>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12</w:t>
            </w:r>
          </w:p>
        </w:tc>
        <w:tc>
          <w:tcPr>
            <w:tcW w:w="5187"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普通高校音乐专业音乐理论课程“学科渗透式”教学研究与实践</w:t>
            </w:r>
          </w:p>
        </w:tc>
        <w:tc>
          <w:tcPr>
            <w:tcW w:w="992" w:type="dxa"/>
            <w:shd w:val="clear" w:color="auto" w:fill="auto"/>
            <w:vAlign w:val="center"/>
          </w:tcPr>
          <w:p w:rsidR="00C0356F" w:rsidRPr="006F5C36" w:rsidRDefault="00C0356F" w:rsidP="00167545">
            <w:pPr>
              <w:spacing w:line="240" w:lineRule="exact"/>
              <w:jc w:val="center"/>
              <w:rPr>
                <w:rFonts w:ascii="宋体" w:hAnsi="宋体" w:hint="eastAsia"/>
                <w:szCs w:val="21"/>
              </w:rPr>
            </w:pPr>
            <w:proofErr w:type="gramStart"/>
            <w:r>
              <w:rPr>
                <w:rFonts w:ascii="宋体" w:hAnsi="宋体" w:hint="eastAsia"/>
                <w:szCs w:val="21"/>
              </w:rPr>
              <w:t>谢黎华</w:t>
            </w:r>
            <w:proofErr w:type="gramEnd"/>
          </w:p>
        </w:tc>
        <w:tc>
          <w:tcPr>
            <w:tcW w:w="1076" w:type="dxa"/>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2015</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13</w:t>
            </w:r>
          </w:p>
        </w:tc>
        <w:tc>
          <w:tcPr>
            <w:tcW w:w="5187"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普通高等院校《声乐基础》课程教学质量评价研究</w:t>
            </w:r>
            <w:r>
              <w:rPr>
                <w:rFonts w:hint="eastAsia"/>
                <w:color w:val="333333"/>
                <w:szCs w:val="21"/>
              </w:rPr>
              <w:t>----</w:t>
            </w:r>
            <w:r>
              <w:rPr>
                <w:rFonts w:hint="eastAsia"/>
                <w:color w:val="333333"/>
                <w:szCs w:val="21"/>
              </w:rPr>
              <w:t>以邵阳学院音乐系《声乐基础》课程为例</w:t>
            </w:r>
          </w:p>
        </w:tc>
        <w:tc>
          <w:tcPr>
            <w:tcW w:w="992" w:type="dxa"/>
            <w:shd w:val="clear" w:color="auto" w:fill="auto"/>
            <w:vAlign w:val="center"/>
          </w:tcPr>
          <w:p w:rsidR="00C0356F" w:rsidRPr="0019278A" w:rsidRDefault="00C0356F" w:rsidP="00167545">
            <w:pPr>
              <w:spacing w:line="240" w:lineRule="exact"/>
              <w:jc w:val="center"/>
              <w:rPr>
                <w:rFonts w:hint="eastAsia"/>
                <w:color w:val="333333"/>
                <w:szCs w:val="21"/>
              </w:rPr>
            </w:pPr>
            <w:proofErr w:type="gramStart"/>
            <w:r>
              <w:rPr>
                <w:rFonts w:hint="eastAsia"/>
                <w:color w:val="333333"/>
                <w:szCs w:val="21"/>
              </w:rPr>
              <w:t>刘叶波</w:t>
            </w:r>
            <w:proofErr w:type="gramEnd"/>
          </w:p>
        </w:tc>
        <w:tc>
          <w:tcPr>
            <w:tcW w:w="1076" w:type="dxa"/>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2013</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14</w:t>
            </w:r>
          </w:p>
        </w:tc>
        <w:tc>
          <w:tcPr>
            <w:tcW w:w="5187"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面向工程应用的单片机教学改革</w:t>
            </w:r>
          </w:p>
        </w:tc>
        <w:tc>
          <w:tcPr>
            <w:tcW w:w="992"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刘伟春</w:t>
            </w:r>
          </w:p>
        </w:tc>
        <w:tc>
          <w:tcPr>
            <w:tcW w:w="1076" w:type="dxa"/>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15</w:t>
            </w:r>
          </w:p>
        </w:tc>
        <w:tc>
          <w:tcPr>
            <w:tcW w:w="5187"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电磁场与电磁波教学改革与实践</w:t>
            </w:r>
          </w:p>
        </w:tc>
        <w:tc>
          <w:tcPr>
            <w:tcW w:w="992"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周建华</w:t>
            </w:r>
          </w:p>
        </w:tc>
        <w:tc>
          <w:tcPr>
            <w:tcW w:w="1076" w:type="dxa"/>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2014</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16</w:t>
            </w:r>
          </w:p>
        </w:tc>
        <w:tc>
          <w:tcPr>
            <w:tcW w:w="5187"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对外汉语专业古代汉语课程融入传统文化的探索</w:t>
            </w:r>
          </w:p>
        </w:tc>
        <w:tc>
          <w:tcPr>
            <w:tcW w:w="992" w:type="dxa"/>
            <w:shd w:val="clear" w:color="auto" w:fill="auto"/>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尹喜清</w:t>
            </w:r>
          </w:p>
        </w:tc>
        <w:tc>
          <w:tcPr>
            <w:tcW w:w="1076" w:type="dxa"/>
            <w:vAlign w:val="center"/>
          </w:tcPr>
          <w:p w:rsidR="00C0356F" w:rsidRPr="0019278A" w:rsidRDefault="00C0356F" w:rsidP="00167545">
            <w:pPr>
              <w:spacing w:line="240" w:lineRule="exact"/>
              <w:jc w:val="center"/>
              <w:rPr>
                <w:rFonts w:hint="eastAsia"/>
                <w:color w:val="333333"/>
                <w:szCs w:val="21"/>
              </w:rPr>
            </w:pPr>
            <w:r>
              <w:rPr>
                <w:rFonts w:hint="eastAsia"/>
                <w:color w:val="333333"/>
                <w:szCs w:val="21"/>
              </w:rPr>
              <w:t>2011</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17</w:t>
            </w:r>
          </w:p>
        </w:tc>
        <w:tc>
          <w:tcPr>
            <w:tcW w:w="5187"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《计算机网络基础》课程空间建设与教学改革研究</w:t>
            </w:r>
          </w:p>
        </w:tc>
        <w:tc>
          <w:tcPr>
            <w:tcW w:w="992"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伍雁鹏</w:t>
            </w:r>
            <w:proofErr w:type="gramEnd"/>
          </w:p>
        </w:tc>
        <w:tc>
          <w:tcPr>
            <w:tcW w:w="1076" w:type="dxa"/>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2016</w:t>
            </w:r>
          </w:p>
        </w:tc>
        <w:tc>
          <w:tcPr>
            <w:tcW w:w="964"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18</w:t>
            </w:r>
          </w:p>
        </w:tc>
        <w:tc>
          <w:tcPr>
            <w:tcW w:w="5187"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历史课堂创新教学研究</w:t>
            </w:r>
          </w:p>
        </w:tc>
        <w:tc>
          <w:tcPr>
            <w:tcW w:w="992" w:type="dxa"/>
            <w:shd w:val="clear" w:color="auto" w:fill="auto"/>
            <w:vAlign w:val="center"/>
          </w:tcPr>
          <w:p w:rsidR="00C0356F" w:rsidRPr="006F5C36" w:rsidRDefault="00C0356F" w:rsidP="00167545">
            <w:pPr>
              <w:spacing w:line="240" w:lineRule="exact"/>
              <w:jc w:val="center"/>
              <w:rPr>
                <w:rFonts w:ascii="宋体" w:hAnsi="宋体" w:hint="eastAsia"/>
                <w:szCs w:val="21"/>
              </w:rPr>
            </w:pPr>
            <w:proofErr w:type="gramStart"/>
            <w:r>
              <w:rPr>
                <w:rFonts w:ascii="宋体" w:hAnsi="宋体" w:hint="eastAsia"/>
                <w:szCs w:val="21"/>
              </w:rPr>
              <w:t>曾维君</w:t>
            </w:r>
            <w:proofErr w:type="gramEnd"/>
          </w:p>
        </w:tc>
        <w:tc>
          <w:tcPr>
            <w:tcW w:w="1076" w:type="dxa"/>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964" w:type="dxa"/>
            <w:shd w:val="clear" w:color="auto" w:fill="auto"/>
            <w:vAlign w:val="center"/>
          </w:tcPr>
          <w:p w:rsidR="00C0356F" w:rsidRDefault="00C0356F" w:rsidP="00167545">
            <w:pPr>
              <w:jc w:val="center"/>
            </w:pPr>
            <w:r w:rsidRPr="004E2D7F">
              <w:rPr>
                <w:rFonts w:hint="eastAsia"/>
              </w:rPr>
              <w:t>通过</w:t>
            </w:r>
          </w:p>
        </w:tc>
      </w:tr>
      <w:tr w:rsidR="00C0356F" w:rsidRPr="00B17A11" w:rsidTr="00167545">
        <w:trPr>
          <w:trHeight w:val="624"/>
          <w:jc w:val="center"/>
        </w:trPr>
        <w:tc>
          <w:tcPr>
            <w:tcW w:w="426"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19</w:t>
            </w:r>
          </w:p>
        </w:tc>
        <w:tc>
          <w:tcPr>
            <w:tcW w:w="5187"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民间文学教学中对湖湘民间文学的强化</w:t>
            </w:r>
          </w:p>
        </w:tc>
        <w:tc>
          <w:tcPr>
            <w:tcW w:w="9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李姣玲</w:t>
            </w:r>
          </w:p>
        </w:tc>
        <w:tc>
          <w:tcPr>
            <w:tcW w:w="1076" w:type="dxa"/>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964" w:type="dxa"/>
            <w:shd w:val="clear" w:color="auto" w:fill="auto"/>
            <w:vAlign w:val="center"/>
          </w:tcPr>
          <w:p w:rsidR="00C0356F" w:rsidRDefault="00C0356F" w:rsidP="00167545">
            <w:pPr>
              <w:jc w:val="center"/>
            </w:pPr>
            <w:r w:rsidRPr="00574FC4">
              <w:rPr>
                <w:rFonts w:hint="eastAsia"/>
              </w:rPr>
              <w:t>通过</w:t>
            </w:r>
          </w:p>
        </w:tc>
      </w:tr>
    </w:tbl>
    <w:p w:rsidR="00C0356F" w:rsidRPr="00685D95" w:rsidRDefault="00C0356F" w:rsidP="00C0356F">
      <w:pPr>
        <w:jc w:val="right"/>
        <w:rPr>
          <w:rFonts w:ascii="宋体" w:hAnsi="宋体"/>
          <w:b/>
          <w:sz w:val="28"/>
          <w:szCs w:val="28"/>
        </w:rPr>
      </w:pPr>
    </w:p>
    <w:tbl>
      <w:tblPr>
        <w:tblW w:w="886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078"/>
        <w:gridCol w:w="1158"/>
        <w:gridCol w:w="1292"/>
        <w:gridCol w:w="886"/>
      </w:tblGrid>
      <w:tr w:rsidR="00C0356F" w:rsidRPr="00B17A11" w:rsidTr="00167545">
        <w:trPr>
          <w:trHeight w:val="624"/>
          <w:jc w:val="center"/>
        </w:trPr>
        <w:tc>
          <w:tcPr>
            <w:tcW w:w="451"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序号</w:t>
            </w:r>
          </w:p>
        </w:tc>
        <w:tc>
          <w:tcPr>
            <w:tcW w:w="507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115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1292"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立项</w:t>
            </w:r>
          </w:p>
          <w:p w:rsidR="00C0356F" w:rsidRPr="00B17A11" w:rsidRDefault="00C0356F" w:rsidP="00167545">
            <w:pPr>
              <w:jc w:val="center"/>
              <w:rPr>
                <w:rFonts w:ascii="宋体" w:hAnsi="宋体" w:cs="宋体"/>
                <w:szCs w:val="21"/>
              </w:rPr>
            </w:pPr>
            <w:r>
              <w:rPr>
                <w:rFonts w:ascii="宋体" w:hAnsi="宋体" w:cs="宋体" w:hint="eastAsia"/>
                <w:szCs w:val="21"/>
              </w:rPr>
              <w:t>年份</w:t>
            </w:r>
          </w:p>
        </w:tc>
        <w:tc>
          <w:tcPr>
            <w:tcW w:w="886" w:type="dxa"/>
            <w:shd w:val="clear" w:color="auto" w:fill="auto"/>
            <w:vAlign w:val="center"/>
          </w:tcPr>
          <w:p w:rsidR="00C0356F" w:rsidRDefault="00C0356F" w:rsidP="00167545">
            <w:pPr>
              <w:jc w:val="center"/>
              <w:rPr>
                <w:rFonts w:ascii="宋体" w:hAnsi="宋体" w:cs="宋体" w:hint="eastAsia"/>
                <w:szCs w:val="21"/>
              </w:rPr>
            </w:pPr>
            <w:r w:rsidRPr="00B17A11">
              <w:rPr>
                <w:rFonts w:ascii="宋体" w:hAnsi="宋体" w:cs="宋体" w:hint="eastAsia"/>
                <w:szCs w:val="21"/>
              </w:rPr>
              <w:t>验收</w:t>
            </w:r>
          </w:p>
          <w:p w:rsidR="00C0356F" w:rsidRPr="00B17A11" w:rsidRDefault="00C0356F" w:rsidP="00167545">
            <w:pPr>
              <w:jc w:val="center"/>
              <w:rPr>
                <w:rFonts w:ascii="宋体" w:hAnsi="宋体" w:cs="宋体"/>
                <w:szCs w:val="21"/>
              </w:rPr>
            </w:pPr>
            <w:r w:rsidRPr="00B17A11">
              <w:rPr>
                <w:rFonts w:ascii="宋体" w:hAnsi="宋体" w:cs="宋体" w:hint="eastAsia"/>
                <w:szCs w:val="21"/>
              </w:rPr>
              <w:t>结论</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20</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大学语文教学内容和教材改革的探讨</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陈红玲</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21</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生物工程专业毕业设计质量保证与监控体系研究</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尹乐斌</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22</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化工实验室精馏实验设备的二次开发与利用</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胡建明</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2012</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23</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地方高校校外创新实践基地建设的研究</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余有贵</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24</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产学研结合的应用型化工专业毕业设计（论文）改革探索</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proofErr w:type="gramStart"/>
            <w:r>
              <w:rPr>
                <w:rFonts w:ascii="宋体" w:hAnsi="宋体" w:hint="eastAsia"/>
                <w:szCs w:val="21"/>
              </w:rPr>
              <w:t>戴友志</w:t>
            </w:r>
            <w:proofErr w:type="gramEnd"/>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25</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新升地方本科院校测绘工程专业应用型人才培养实践教学体系构建研究</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黄雄伟</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2012</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szCs w:val="21"/>
              </w:rPr>
            </w:pPr>
            <w:r>
              <w:rPr>
                <w:rFonts w:ascii="宋体" w:hAnsi="宋体" w:cs="宋体" w:hint="eastAsia"/>
                <w:szCs w:val="21"/>
              </w:rPr>
              <w:t>26</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土力学实验教学改革研究</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刘聪</w:t>
            </w:r>
            <w:proofErr w:type="gramStart"/>
            <w:r>
              <w:rPr>
                <w:rFonts w:ascii="宋体" w:hAnsi="宋体" w:hint="eastAsia"/>
                <w:szCs w:val="21"/>
              </w:rPr>
              <w:t>聪</w:t>
            </w:r>
            <w:proofErr w:type="gramEnd"/>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27</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基于语料库的大学英语短语教学研究</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proofErr w:type="gramStart"/>
            <w:r>
              <w:rPr>
                <w:rFonts w:ascii="宋体" w:hAnsi="宋体" w:hint="eastAsia"/>
                <w:szCs w:val="21"/>
              </w:rPr>
              <w:t>麻建学</w:t>
            </w:r>
            <w:proofErr w:type="gramEnd"/>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28</w:t>
            </w:r>
          </w:p>
        </w:tc>
        <w:tc>
          <w:tcPr>
            <w:tcW w:w="5078" w:type="dxa"/>
            <w:shd w:val="clear" w:color="auto" w:fill="auto"/>
            <w:vAlign w:val="center"/>
          </w:tcPr>
          <w:p w:rsidR="00C0356F" w:rsidRPr="00DF2649" w:rsidRDefault="00C0356F" w:rsidP="00167545">
            <w:pPr>
              <w:spacing w:line="240" w:lineRule="exact"/>
              <w:jc w:val="center"/>
              <w:rPr>
                <w:rFonts w:ascii="宋体" w:hAnsi="宋体" w:hint="eastAsia"/>
                <w:szCs w:val="21"/>
              </w:rPr>
            </w:pPr>
            <w:r>
              <w:rPr>
                <w:rFonts w:ascii="宋体" w:hAnsi="宋体" w:hint="eastAsia"/>
                <w:szCs w:val="21"/>
              </w:rPr>
              <w:t>基于合作学习的大学英语教学模式研究与实践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李田</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29</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地方二本院校英语</w:t>
            </w:r>
            <w:proofErr w:type="gramStart"/>
            <w:r>
              <w:rPr>
                <w:rFonts w:ascii="宋体" w:hAnsi="宋体" w:hint="eastAsia"/>
                <w:szCs w:val="21"/>
              </w:rPr>
              <w:t>专八考试</w:t>
            </w:r>
            <w:proofErr w:type="gramEnd"/>
            <w:r>
              <w:rPr>
                <w:rFonts w:ascii="宋体" w:hAnsi="宋体" w:hint="eastAsia"/>
                <w:szCs w:val="21"/>
              </w:rPr>
              <w:t>问题及对策研究---以邵阳学院外语系为例</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徐龙飞</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30</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认知语言学视角下英汉语对比课程的自主研究型学习方法探析</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李璐</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2015</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31</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本科会计电算化课程启发式教学应用研究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郑爱民</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32</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基于就业能力培育的人力资源管理课程实践性教学研究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童石荣</w:t>
            </w:r>
            <w:proofErr w:type="gramEnd"/>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33</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《市场营销学》课程实践教学模式的改革研究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宁科杰</w:t>
            </w:r>
            <w:proofErr w:type="gramEnd"/>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34</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应用型本科院校“卓越人力资源管理师”人才培养模式研究与实践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王周火</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35</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参与式教学法在世界市场行情课程中的运用研究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谭芬</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36</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研讨式教学法在《马克思主义基本原理》教学中的研究与实践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周平</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37</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地方高校人才培养新视域下《电动力学》课程教学探究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邓洪亮</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38</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基于校本课程建设的高校音乐课程改革研究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卿丹</w:t>
            </w:r>
            <w:proofErr w:type="gramEnd"/>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2015</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r w:rsidR="00C0356F" w:rsidRPr="00B17A11" w:rsidTr="00167545">
        <w:trPr>
          <w:trHeight w:val="624"/>
          <w:jc w:val="center"/>
        </w:trPr>
        <w:tc>
          <w:tcPr>
            <w:tcW w:w="451"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39</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基于应用能力培养的《数值分析》课程研讨式教学研究与实践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孙文兵</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2015</w:t>
            </w:r>
          </w:p>
        </w:tc>
        <w:tc>
          <w:tcPr>
            <w:tcW w:w="886" w:type="dxa"/>
            <w:shd w:val="clear" w:color="auto" w:fill="auto"/>
            <w:vAlign w:val="center"/>
          </w:tcPr>
          <w:p w:rsidR="00C0356F" w:rsidRDefault="00C0356F" w:rsidP="00167545">
            <w:pPr>
              <w:jc w:val="center"/>
            </w:pPr>
            <w:r w:rsidRPr="0073282F">
              <w:rPr>
                <w:rFonts w:ascii="宋体" w:hAnsi="宋体" w:cs="宋体" w:hint="eastAsia"/>
                <w:szCs w:val="21"/>
              </w:rPr>
              <w:t>通过</w:t>
            </w:r>
          </w:p>
        </w:tc>
      </w:tr>
    </w:tbl>
    <w:p w:rsidR="00C0356F" w:rsidRPr="008D2E7D" w:rsidRDefault="00C0356F" w:rsidP="00C0356F">
      <w:pPr>
        <w:jc w:val="right"/>
        <w:rPr>
          <w:rFonts w:hint="eastAsia"/>
        </w:rPr>
      </w:pPr>
    </w:p>
    <w:p w:rsidR="00C0356F" w:rsidRDefault="00C0356F" w:rsidP="00C0356F">
      <w:pPr>
        <w:rPr>
          <w:rFonts w:ascii="宋体" w:hAnsi="宋体" w:hint="eastAsia"/>
          <w:sz w:val="24"/>
        </w:rPr>
      </w:pPr>
    </w:p>
    <w:tbl>
      <w:tblPr>
        <w:tblW w:w="886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078"/>
        <w:gridCol w:w="1158"/>
        <w:gridCol w:w="1292"/>
        <w:gridCol w:w="886"/>
      </w:tblGrid>
      <w:tr w:rsidR="00C0356F" w:rsidRPr="00B17A11" w:rsidTr="00167545">
        <w:trPr>
          <w:trHeight w:val="624"/>
          <w:jc w:val="center"/>
        </w:trPr>
        <w:tc>
          <w:tcPr>
            <w:tcW w:w="451"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序号</w:t>
            </w:r>
          </w:p>
        </w:tc>
        <w:tc>
          <w:tcPr>
            <w:tcW w:w="507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115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1292" w:type="dxa"/>
            <w:shd w:val="clear" w:color="auto" w:fill="auto"/>
            <w:vAlign w:val="center"/>
          </w:tcPr>
          <w:p w:rsidR="00C0356F" w:rsidRDefault="00C0356F" w:rsidP="00167545">
            <w:pPr>
              <w:jc w:val="center"/>
              <w:rPr>
                <w:rFonts w:ascii="宋体" w:hAnsi="宋体" w:cs="宋体" w:hint="eastAsia"/>
                <w:szCs w:val="21"/>
              </w:rPr>
            </w:pPr>
            <w:r>
              <w:rPr>
                <w:rFonts w:ascii="宋体" w:hAnsi="宋体" w:cs="宋体" w:hint="eastAsia"/>
                <w:szCs w:val="21"/>
              </w:rPr>
              <w:t>立项</w:t>
            </w:r>
          </w:p>
          <w:p w:rsidR="00C0356F" w:rsidRPr="00B17A11" w:rsidRDefault="00C0356F" w:rsidP="00167545">
            <w:pPr>
              <w:jc w:val="center"/>
              <w:rPr>
                <w:rFonts w:ascii="宋体" w:hAnsi="宋体" w:cs="宋体"/>
                <w:szCs w:val="21"/>
              </w:rPr>
            </w:pPr>
            <w:r>
              <w:rPr>
                <w:rFonts w:ascii="宋体" w:hAnsi="宋体" w:cs="宋体" w:hint="eastAsia"/>
                <w:szCs w:val="21"/>
              </w:rPr>
              <w:t>年份</w:t>
            </w:r>
          </w:p>
        </w:tc>
        <w:tc>
          <w:tcPr>
            <w:tcW w:w="886" w:type="dxa"/>
            <w:shd w:val="clear" w:color="auto" w:fill="auto"/>
            <w:vAlign w:val="center"/>
          </w:tcPr>
          <w:p w:rsidR="00C0356F" w:rsidRDefault="00C0356F" w:rsidP="00167545">
            <w:pPr>
              <w:jc w:val="center"/>
              <w:rPr>
                <w:rFonts w:ascii="宋体" w:hAnsi="宋体" w:cs="宋体" w:hint="eastAsia"/>
                <w:szCs w:val="21"/>
              </w:rPr>
            </w:pPr>
            <w:r w:rsidRPr="00B17A11">
              <w:rPr>
                <w:rFonts w:ascii="宋体" w:hAnsi="宋体" w:cs="宋体" w:hint="eastAsia"/>
                <w:szCs w:val="21"/>
              </w:rPr>
              <w:t>验收</w:t>
            </w:r>
          </w:p>
          <w:p w:rsidR="00C0356F" w:rsidRPr="00B17A11" w:rsidRDefault="00C0356F" w:rsidP="00167545">
            <w:pPr>
              <w:jc w:val="center"/>
              <w:rPr>
                <w:rFonts w:ascii="宋体" w:hAnsi="宋体" w:cs="宋体"/>
                <w:szCs w:val="21"/>
              </w:rPr>
            </w:pPr>
            <w:r w:rsidRPr="00B17A11">
              <w:rPr>
                <w:rFonts w:ascii="宋体" w:hAnsi="宋体" w:cs="宋体" w:hint="eastAsia"/>
                <w:szCs w:val="21"/>
              </w:rPr>
              <w:t>结论</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40</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地方高校法学专业实践教学的现状及改革</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何赛强</w:t>
            </w:r>
            <w:proofErr w:type="gramEnd"/>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41</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w:t>
            </w:r>
            <w:proofErr w:type="gramStart"/>
            <w:r>
              <w:rPr>
                <w:rFonts w:ascii="宋体" w:hAnsi="宋体" w:hint="eastAsia"/>
                <w:szCs w:val="21"/>
              </w:rPr>
              <w:t>一</w:t>
            </w:r>
            <w:proofErr w:type="gramEnd"/>
            <w:r>
              <w:rPr>
                <w:rFonts w:ascii="宋体" w:hAnsi="宋体" w:hint="eastAsia"/>
                <w:szCs w:val="21"/>
              </w:rPr>
              <w:t>以贯之”灵动模式在哲学教学中的应用研究</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阮春晖</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42</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拓展训练在大学体育课程中的应用</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曾小娥</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43</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基于顶层设计理论视角对邵阳学院《大学体育》课程改革的反思与重构</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proofErr w:type="gramStart"/>
            <w:r>
              <w:rPr>
                <w:rFonts w:ascii="宋体" w:hAnsi="宋体" w:hint="eastAsia"/>
                <w:szCs w:val="21"/>
              </w:rPr>
              <w:t>刘君玲</w:t>
            </w:r>
            <w:proofErr w:type="gramEnd"/>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44</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地方高校环境艺术设计课程“三平台”创新教学模式的研究与实践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曾强</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2015</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Pr="008E5F0E" w:rsidRDefault="00C0356F" w:rsidP="00167545">
            <w:pPr>
              <w:jc w:val="center"/>
              <w:rPr>
                <w:rFonts w:ascii="宋体" w:hAnsi="宋体" w:cs="宋体"/>
                <w:szCs w:val="21"/>
              </w:rPr>
            </w:pPr>
            <w:r>
              <w:rPr>
                <w:rFonts w:ascii="宋体" w:hAnsi="宋体" w:cs="宋体" w:hint="eastAsia"/>
                <w:szCs w:val="21"/>
              </w:rPr>
              <w:t>45</w:t>
            </w:r>
          </w:p>
        </w:tc>
        <w:tc>
          <w:tcPr>
            <w:tcW w:w="507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中国山水画课程临摹教学研究与实践</w:t>
            </w:r>
          </w:p>
        </w:tc>
        <w:tc>
          <w:tcPr>
            <w:tcW w:w="1158"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彭晓智</w:t>
            </w:r>
          </w:p>
        </w:tc>
        <w:tc>
          <w:tcPr>
            <w:tcW w:w="1292" w:type="dxa"/>
            <w:shd w:val="clear" w:color="auto" w:fill="auto"/>
            <w:vAlign w:val="center"/>
          </w:tcPr>
          <w:p w:rsidR="00C0356F" w:rsidRDefault="00C0356F" w:rsidP="00167545">
            <w:pPr>
              <w:spacing w:line="240" w:lineRule="exact"/>
              <w:jc w:val="center"/>
              <w:rPr>
                <w:rFonts w:ascii="宋体" w:hAnsi="宋体" w:hint="eastAsia"/>
                <w:szCs w:val="21"/>
              </w:rPr>
            </w:pPr>
            <w:r>
              <w:rPr>
                <w:rFonts w:ascii="宋体" w:hAnsi="宋体" w:hint="eastAsia"/>
                <w:szCs w:val="21"/>
              </w:rPr>
              <w:t>2014</w:t>
            </w:r>
          </w:p>
        </w:tc>
        <w:tc>
          <w:tcPr>
            <w:tcW w:w="886" w:type="dxa"/>
            <w:shd w:val="clear" w:color="auto" w:fill="auto"/>
            <w:vAlign w:val="center"/>
          </w:tcPr>
          <w:p w:rsidR="00C0356F" w:rsidRDefault="00C0356F" w:rsidP="00167545">
            <w:pPr>
              <w:jc w:val="center"/>
            </w:pPr>
            <w:r w:rsidRPr="002868E4">
              <w:rPr>
                <w:rFonts w:ascii="宋体" w:hAnsi="宋体" w:cs="宋体" w:hint="eastAsia"/>
                <w:szCs w:val="21"/>
              </w:rPr>
              <w:t>通过</w:t>
            </w:r>
          </w:p>
        </w:tc>
      </w:tr>
      <w:tr w:rsidR="00C0356F" w:rsidTr="00167545">
        <w:trPr>
          <w:trHeight w:val="624"/>
          <w:jc w:val="center"/>
        </w:trPr>
        <w:tc>
          <w:tcPr>
            <w:tcW w:w="451" w:type="dxa"/>
            <w:shd w:val="clear" w:color="auto" w:fill="auto"/>
            <w:vAlign w:val="center"/>
          </w:tcPr>
          <w:p w:rsidR="00C0356F" w:rsidRDefault="00C0356F" w:rsidP="00167545">
            <w:pPr>
              <w:jc w:val="center"/>
              <w:rPr>
                <w:rFonts w:ascii="宋体" w:hAnsi="宋体" w:cs="宋体"/>
                <w:szCs w:val="21"/>
              </w:rPr>
            </w:pPr>
            <w:r>
              <w:rPr>
                <w:rFonts w:ascii="宋体" w:hAnsi="宋体" w:cs="宋体" w:hint="eastAsia"/>
                <w:szCs w:val="21"/>
              </w:rPr>
              <w:t>46</w:t>
            </w:r>
          </w:p>
        </w:tc>
        <w:tc>
          <w:tcPr>
            <w:tcW w:w="507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利用“国培计划”，改善中学语文教学策略与设计课程</w:t>
            </w:r>
          </w:p>
        </w:tc>
        <w:tc>
          <w:tcPr>
            <w:tcW w:w="1158"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陈文中</w:t>
            </w:r>
          </w:p>
        </w:tc>
        <w:tc>
          <w:tcPr>
            <w:tcW w:w="1292" w:type="dxa"/>
            <w:shd w:val="clear" w:color="auto" w:fill="auto"/>
            <w:vAlign w:val="center"/>
          </w:tcPr>
          <w:p w:rsidR="00C0356F" w:rsidRPr="006F5C36" w:rsidRDefault="00C0356F" w:rsidP="00167545">
            <w:pPr>
              <w:spacing w:line="240" w:lineRule="exact"/>
              <w:jc w:val="center"/>
              <w:rPr>
                <w:rFonts w:ascii="宋体" w:hAnsi="宋体" w:hint="eastAsia"/>
                <w:szCs w:val="21"/>
              </w:rPr>
            </w:pPr>
            <w:r>
              <w:rPr>
                <w:rFonts w:ascii="宋体" w:hAnsi="宋体" w:hint="eastAsia"/>
                <w:szCs w:val="21"/>
              </w:rPr>
              <w:t>2013</w:t>
            </w:r>
          </w:p>
        </w:tc>
        <w:tc>
          <w:tcPr>
            <w:tcW w:w="886" w:type="dxa"/>
            <w:shd w:val="clear" w:color="auto" w:fill="auto"/>
            <w:vAlign w:val="center"/>
          </w:tcPr>
          <w:p w:rsidR="00C0356F" w:rsidRDefault="00C0356F" w:rsidP="00167545">
            <w:pPr>
              <w:jc w:val="center"/>
            </w:pPr>
            <w:r>
              <w:rPr>
                <w:rFonts w:hint="eastAsia"/>
              </w:rPr>
              <w:t>不</w:t>
            </w:r>
            <w:r w:rsidRPr="004E2D7F">
              <w:rPr>
                <w:rFonts w:hint="eastAsia"/>
              </w:rPr>
              <w:t>通过</w:t>
            </w:r>
          </w:p>
        </w:tc>
      </w:tr>
    </w:tbl>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p>
    <w:p w:rsidR="00C0356F" w:rsidRDefault="00C0356F" w:rsidP="00C0356F">
      <w:pPr>
        <w:rPr>
          <w:rFonts w:ascii="宋体" w:hAnsi="宋体" w:hint="eastAsia"/>
          <w:sz w:val="24"/>
        </w:rPr>
      </w:pPr>
      <w:r>
        <w:rPr>
          <w:rFonts w:ascii="宋体" w:hAnsi="宋体" w:hint="eastAsia"/>
          <w:sz w:val="24"/>
        </w:rPr>
        <w:lastRenderedPageBreak/>
        <w:t>附件2</w:t>
      </w:r>
    </w:p>
    <w:p w:rsidR="00C0356F" w:rsidRPr="00E36C93" w:rsidRDefault="00C0356F" w:rsidP="00C0356F">
      <w:pPr>
        <w:jc w:val="center"/>
        <w:rPr>
          <w:rFonts w:ascii="宋体" w:hAnsi="宋体" w:hint="eastAsia"/>
          <w:b/>
          <w:sz w:val="28"/>
          <w:szCs w:val="28"/>
        </w:rPr>
      </w:pPr>
      <w:r w:rsidRPr="00D72D1B">
        <w:rPr>
          <w:rFonts w:ascii="宋体" w:hAnsi="宋体" w:hint="eastAsia"/>
          <w:b/>
          <w:sz w:val="28"/>
          <w:szCs w:val="28"/>
        </w:rPr>
        <w:t>201</w:t>
      </w:r>
      <w:r>
        <w:rPr>
          <w:rFonts w:ascii="宋体" w:hAnsi="宋体" w:hint="eastAsia"/>
          <w:b/>
          <w:sz w:val="28"/>
          <w:szCs w:val="28"/>
        </w:rPr>
        <w:t>6</w:t>
      </w:r>
      <w:r w:rsidRPr="00D72D1B">
        <w:rPr>
          <w:rFonts w:ascii="宋体" w:hAnsi="宋体" w:hint="eastAsia"/>
          <w:b/>
          <w:sz w:val="28"/>
          <w:szCs w:val="28"/>
        </w:rPr>
        <w:t>年度邵阳学院教学改革</w:t>
      </w:r>
      <w:r>
        <w:rPr>
          <w:rFonts w:ascii="宋体" w:hAnsi="宋体" w:hint="eastAsia"/>
          <w:b/>
          <w:sz w:val="28"/>
          <w:szCs w:val="28"/>
        </w:rPr>
        <w:t>研究</w:t>
      </w:r>
      <w:r w:rsidRPr="00D72D1B">
        <w:rPr>
          <w:rFonts w:ascii="宋体" w:hAnsi="宋体" w:hint="eastAsia"/>
          <w:b/>
          <w:sz w:val="28"/>
          <w:szCs w:val="28"/>
        </w:rPr>
        <w:t>项目中期检查结果汇总表</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6886"/>
        <w:gridCol w:w="938"/>
        <w:gridCol w:w="783"/>
        <w:gridCol w:w="783"/>
      </w:tblGrid>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序号</w:t>
            </w:r>
          </w:p>
        </w:tc>
        <w:tc>
          <w:tcPr>
            <w:tcW w:w="6886"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93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项目级别</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检查结论</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1</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基于应用型人才模式的钢结构课程教学改革</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贺海斌</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2</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民族预科数学教学改革的研究与实践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谢振中</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优秀</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3</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地方本科院校中外合作办学课程引进实验班教学模式的研究与实践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赵乘</w:t>
            </w:r>
            <w:proofErr w:type="gramStart"/>
            <w:r w:rsidRPr="00E36C93">
              <w:rPr>
                <w:rFonts w:hint="eastAsia"/>
                <w:szCs w:val="21"/>
              </w:rPr>
              <w:t>麟</w:t>
            </w:r>
            <w:proofErr w:type="gramEnd"/>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4</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研讨式教学在艺术设计理论课程的运用</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聂世忠</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优秀</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5</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基于校企合作的国际经济与贸易专业课程优化研究</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曾海燕</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优秀</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6</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“互联网</w:t>
            </w:r>
            <w:r w:rsidRPr="00E36C93">
              <w:rPr>
                <w:rFonts w:hint="eastAsia"/>
                <w:szCs w:val="21"/>
              </w:rPr>
              <w:t>+</w:t>
            </w:r>
            <w:r w:rsidRPr="00E36C93">
              <w:rPr>
                <w:rFonts w:hint="eastAsia"/>
                <w:szCs w:val="21"/>
              </w:rPr>
              <w:t>”背景下非英语专业大学生思辨能力培养研究</w:t>
            </w:r>
          </w:p>
        </w:tc>
        <w:tc>
          <w:tcPr>
            <w:tcW w:w="938" w:type="dxa"/>
            <w:shd w:val="clear" w:color="auto" w:fill="auto"/>
            <w:vAlign w:val="center"/>
          </w:tcPr>
          <w:p w:rsidR="00C0356F" w:rsidRPr="00E36C93" w:rsidRDefault="00C0356F" w:rsidP="00167545">
            <w:pPr>
              <w:jc w:val="center"/>
              <w:rPr>
                <w:szCs w:val="21"/>
              </w:rPr>
            </w:pPr>
            <w:proofErr w:type="gramStart"/>
            <w:r w:rsidRPr="00E36C93">
              <w:rPr>
                <w:rFonts w:hint="eastAsia"/>
                <w:szCs w:val="21"/>
              </w:rPr>
              <w:t>成祖堰</w:t>
            </w:r>
            <w:proofErr w:type="gramEnd"/>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7</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大学英语“零课时”听说教学模式研究与实践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彭俊广</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不合格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8</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大学英语教学中词汇习得效度研究与实践</w:t>
            </w:r>
            <w:r w:rsidRPr="00E36C93">
              <w:rPr>
                <w:rFonts w:hint="eastAsia"/>
                <w:szCs w:val="21"/>
              </w:rPr>
              <w:t>---</w:t>
            </w:r>
            <w:r w:rsidRPr="00E36C93">
              <w:rPr>
                <w:rFonts w:hint="eastAsia"/>
                <w:szCs w:val="21"/>
              </w:rPr>
              <w:t>以邵阳学院为例</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杨志豪</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9</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基于网络环境下的大学英语跨文化翻译教学模式研究</w:t>
            </w:r>
            <w:r w:rsidRPr="00E36C93">
              <w:rPr>
                <w:rFonts w:hint="eastAsia"/>
                <w:szCs w:val="21"/>
              </w:rPr>
              <w:t>---</w:t>
            </w:r>
            <w:r w:rsidRPr="00E36C93">
              <w:rPr>
                <w:rFonts w:hint="eastAsia"/>
                <w:szCs w:val="21"/>
              </w:rPr>
              <w:t>以邵阳学院为例</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刘涛</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10</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地方院校生物工程专业分子生物学双语教学模式的研究与实践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邱海洪</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11</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表象训练法在篮球专项课中的应用研究</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陈日升</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12</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信息化视角下成人高等教育课程评价体系的理论与实践</w:t>
            </w:r>
            <w:r w:rsidRPr="00E36C93">
              <w:rPr>
                <w:rFonts w:hint="eastAsia"/>
                <w:szCs w:val="21"/>
              </w:rPr>
              <w:t>---</w:t>
            </w:r>
            <w:r w:rsidRPr="00E36C93">
              <w:rPr>
                <w:rFonts w:hint="eastAsia"/>
                <w:szCs w:val="21"/>
              </w:rPr>
              <w:t>以邵阳学院成人教育为例</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姚翔</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13</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《能源与环境》课程研讨式教学的研究与实践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石楚平</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14</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以方程式赛车为载体的汽车类专业课程研讨式教学模式研究</w:t>
            </w:r>
          </w:p>
        </w:tc>
        <w:tc>
          <w:tcPr>
            <w:tcW w:w="938" w:type="dxa"/>
            <w:shd w:val="clear" w:color="auto" w:fill="auto"/>
            <w:vAlign w:val="center"/>
          </w:tcPr>
          <w:p w:rsidR="00C0356F" w:rsidRPr="00E36C93" w:rsidRDefault="00C0356F" w:rsidP="00167545">
            <w:pPr>
              <w:jc w:val="center"/>
              <w:rPr>
                <w:szCs w:val="21"/>
              </w:rPr>
            </w:pPr>
            <w:proofErr w:type="gramStart"/>
            <w:r w:rsidRPr="00E36C93">
              <w:rPr>
                <w:rFonts w:hint="eastAsia"/>
                <w:szCs w:val="21"/>
              </w:rPr>
              <w:t>伏军</w:t>
            </w:r>
            <w:proofErr w:type="gramEnd"/>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15</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轨道交通信号与控制专业人才知识结构与课程体系研究</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林立</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16</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行政法与行政诉讼法研讨式教学改革研究与实践</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刘昕</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pStyle w:val="a7"/>
              <w:adjustRightInd w:val="0"/>
              <w:snapToGrid w:val="0"/>
              <w:ind w:firstLine="0"/>
              <w:jc w:val="center"/>
              <w:rPr>
                <w:color w:val="auto"/>
                <w:szCs w:val="21"/>
              </w:rPr>
            </w:pPr>
            <w:r w:rsidRPr="00E36C93">
              <w:rPr>
                <w:rFonts w:ascii="仿宋_GB2312" w:eastAsia="仿宋_GB2312" w:hint="eastAsia"/>
                <w:color w:val="auto"/>
                <w:szCs w:val="21"/>
              </w:rPr>
              <w:t>优秀</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17</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地方高校土木工程专业应用型人才培养模式的研究与实践</w:t>
            </w:r>
          </w:p>
        </w:tc>
        <w:tc>
          <w:tcPr>
            <w:tcW w:w="938" w:type="dxa"/>
            <w:shd w:val="clear" w:color="auto" w:fill="auto"/>
            <w:vAlign w:val="center"/>
          </w:tcPr>
          <w:p w:rsidR="00C0356F" w:rsidRPr="00E36C93" w:rsidRDefault="00C0356F" w:rsidP="00167545">
            <w:pPr>
              <w:jc w:val="center"/>
              <w:rPr>
                <w:szCs w:val="21"/>
              </w:rPr>
            </w:pPr>
            <w:proofErr w:type="gramStart"/>
            <w:r w:rsidRPr="00E36C93">
              <w:rPr>
                <w:rFonts w:hint="eastAsia"/>
                <w:szCs w:val="21"/>
              </w:rPr>
              <w:t>林彰银</w:t>
            </w:r>
            <w:proofErr w:type="gramEnd"/>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18</w:t>
            </w:r>
          </w:p>
        </w:tc>
        <w:tc>
          <w:tcPr>
            <w:tcW w:w="6886" w:type="dxa"/>
            <w:shd w:val="clear" w:color="auto" w:fill="auto"/>
            <w:vAlign w:val="center"/>
          </w:tcPr>
          <w:p w:rsidR="00C0356F" w:rsidRPr="00E36C93" w:rsidRDefault="00C0356F" w:rsidP="00167545">
            <w:pPr>
              <w:jc w:val="center"/>
              <w:rPr>
                <w:szCs w:val="21"/>
              </w:rPr>
            </w:pPr>
            <w:r w:rsidRPr="00E36C93">
              <w:rPr>
                <w:rFonts w:hint="eastAsia"/>
                <w:szCs w:val="21"/>
              </w:rPr>
              <w:t>PDCA</w:t>
            </w:r>
            <w:r w:rsidRPr="00E36C93">
              <w:rPr>
                <w:rFonts w:hint="eastAsia"/>
                <w:szCs w:val="21"/>
              </w:rPr>
              <w:t>循环主体机动多维研讨式教学模式研究</w:t>
            </w:r>
            <w:r>
              <w:rPr>
                <w:rFonts w:hint="eastAsia"/>
                <w:szCs w:val="21"/>
              </w:rPr>
              <w:t>---</w:t>
            </w:r>
            <w:r w:rsidRPr="00E36C93">
              <w:rPr>
                <w:rFonts w:hint="eastAsia"/>
                <w:szCs w:val="21"/>
              </w:rPr>
              <w:t>以《国际贸易实务》双语课程为例</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贺海波</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19</w:t>
            </w:r>
          </w:p>
        </w:tc>
        <w:tc>
          <w:tcPr>
            <w:tcW w:w="6886" w:type="dxa"/>
            <w:shd w:val="clear" w:color="auto" w:fill="auto"/>
            <w:vAlign w:val="center"/>
          </w:tcPr>
          <w:p w:rsidR="00C0356F" w:rsidRPr="00E36C93" w:rsidRDefault="00C0356F" w:rsidP="00167545">
            <w:pPr>
              <w:jc w:val="center"/>
              <w:rPr>
                <w:b/>
                <w:szCs w:val="21"/>
              </w:rPr>
            </w:pPr>
            <w:r w:rsidRPr="00E36C93">
              <w:rPr>
                <w:rFonts w:hint="eastAsia"/>
                <w:szCs w:val="21"/>
              </w:rPr>
              <w:t>《马克思主义基本原理概论》研究性学习的教学改革探索与研究</w:t>
            </w:r>
          </w:p>
        </w:tc>
        <w:tc>
          <w:tcPr>
            <w:tcW w:w="938" w:type="dxa"/>
            <w:shd w:val="clear" w:color="auto" w:fill="auto"/>
            <w:vAlign w:val="center"/>
          </w:tcPr>
          <w:p w:rsidR="00C0356F" w:rsidRPr="00E36C93" w:rsidRDefault="00C0356F" w:rsidP="00167545">
            <w:pPr>
              <w:jc w:val="center"/>
              <w:rPr>
                <w:szCs w:val="21"/>
              </w:rPr>
            </w:pPr>
            <w:r w:rsidRPr="00E36C93">
              <w:rPr>
                <w:rFonts w:hint="eastAsia"/>
                <w:szCs w:val="21"/>
              </w:rPr>
              <w:t>刘真金</w:t>
            </w:r>
          </w:p>
        </w:tc>
        <w:tc>
          <w:tcPr>
            <w:tcW w:w="783" w:type="dxa"/>
            <w:shd w:val="clear" w:color="auto" w:fill="auto"/>
            <w:vAlign w:val="center"/>
          </w:tcPr>
          <w:p w:rsidR="00C0356F" w:rsidRPr="00E36C93" w:rsidRDefault="00C0356F" w:rsidP="00167545">
            <w:pPr>
              <w:jc w:val="center"/>
              <w:rPr>
                <w:rFonts w:ascii="宋体" w:hAnsi="宋体"/>
                <w:szCs w:val="21"/>
              </w:rPr>
            </w:pPr>
            <w:r w:rsidRPr="00E36C93">
              <w:rPr>
                <w:rFonts w:ascii="宋体" w:hAnsi="宋体" w:cs="宋体" w:hint="eastAsia"/>
                <w:szCs w:val="21"/>
              </w:rPr>
              <w:t>省级</w:t>
            </w:r>
          </w:p>
        </w:tc>
        <w:tc>
          <w:tcPr>
            <w:tcW w:w="783" w:type="dxa"/>
            <w:shd w:val="clear" w:color="auto" w:fill="auto"/>
            <w:vAlign w:val="center"/>
          </w:tcPr>
          <w:p w:rsidR="00C0356F" w:rsidRPr="00E36C93" w:rsidRDefault="00C0356F" w:rsidP="00167545">
            <w:pPr>
              <w:jc w:val="center"/>
              <w:rPr>
                <w:szCs w:val="21"/>
              </w:rPr>
            </w:pPr>
            <w:r w:rsidRPr="00E36C93">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lastRenderedPageBreak/>
              <w:t>序号</w:t>
            </w:r>
          </w:p>
        </w:tc>
        <w:tc>
          <w:tcPr>
            <w:tcW w:w="6886"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93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项目级别</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检查结论</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hint="eastAsia"/>
                <w:szCs w:val="21"/>
              </w:rPr>
            </w:pPr>
            <w:r>
              <w:rPr>
                <w:rFonts w:ascii="宋体" w:hAnsi="宋体" w:cs="宋体" w:hint="eastAsia"/>
                <w:szCs w:val="21"/>
              </w:rPr>
              <w:t>20</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“阶梯”式文化导入模式在大学英语教学中应用研究</w:t>
            </w:r>
          </w:p>
        </w:tc>
        <w:tc>
          <w:tcPr>
            <w:tcW w:w="938" w:type="dxa"/>
            <w:shd w:val="clear" w:color="auto" w:fill="auto"/>
            <w:vAlign w:val="center"/>
          </w:tcPr>
          <w:p w:rsidR="00C0356F" w:rsidRPr="00C66CC0" w:rsidRDefault="00C0356F" w:rsidP="00167545">
            <w:pPr>
              <w:jc w:val="center"/>
              <w:rPr>
                <w:szCs w:val="21"/>
              </w:rPr>
            </w:pPr>
            <w:proofErr w:type="gramStart"/>
            <w:r w:rsidRPr="00C66CC0">
              <w:rPr>
                <w:rFonts w:hint="eastAsia"/>
                <w:szCs w:val="21"/>
              </w:rPr>
              <w:t>肖玉凌</w:t>
            </w:r>
            <w:proofErr w:type="gramEnd"/>
          </w:p>
        </w:tc>
        <w:tc>
          <w:tcPr>
            <w:tcW w:w="783" w:type="dxa"/>
            <w:shd w:val="clear" w:color="auto" w:fill="auto"/>
            <w:vAlign w:val="center"/>
          </w:tcPr>
          <w:p w:rsidR="00C0356F" w:rsidRPr="00C66CC0" w:rsidRDefault="00C0356F" w:rsidP="00167545">
            <w:pPr>
              <w:jc w:val="center"/>
              <w:rPr>
                <w:rFonts w:ascii="宋体" w:hAnsi="宋体"/>
                <w:szCs w:val="21"/>
              </w:rPr>
            </w:pPr>
            <w:r w:rsidRPr="00C66CC0">
              <w:rPr>
                <w:rFonts w:ascii="宋体" w:hAnsi="宋体" w:cs="宋体" w:hint="eastAsia"/>
                <w:szCs w:val="21"/>
              </w:rPr>
              <w:t>省级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21</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《计算机网络基础》课程空间建设与教学改革研究</w:t>
            </w:r>
          </w:p>
        </w:tc>
        <w:tc>
          <w:tcPr>
            <w:tcW w:w="938" w:type="dxa"/>
            <w:shd w:val="clear" w:color="auto" w:fill="auto"/>
            <w:vAlign w:val="center"/>
          </w:tcPr>
          <w:p w:rsidR="00C0356F" w:rsidRPr="00C66CC0" w:rsidRDefault="00C0356F" w:rsidP="00167545">
            <w:pPr>
              <w:jc w:val="center"/>
              <w:rPr>
                <w:szCs w:val="21"/>
              </w:rPr>
            </w:pPr>
            <w:proofErr w:type="gramStart"/>
            <w:r w:rsidRPr="00C66CC0">
              <w:rPr>
                <w:rFonts w:hint="eastAsia"/>
                <w:szCs w:val="21"/>
              </w:rPr>
              <w:t>伍雁鹏</w:t>
            </w:r>
            <w:proofErr w:type="gramEnd"/>
          </w:p>
        </w:tc>
        <w:tc>
          <w:tcPr>
            <w:tcW w:w="783" w:type="dxa"/>
            <w:shd w:val="clear" w:color="auto" w:fill="auto"/>
            <w:vAlign w:val="center"/>
          </w:tcPr>
          <w:p w:rsidR="00C0356F" w:rsidRPr="00C66CC0" w:rsidRDefault="00C0356F" w:rsidP="00167545">
            <w:pPr>
              <w:jc w:val="center"/>
              <w:rPr>
                <w:rFonts w:ascii="宋体" w:hAnsi="宋体"/>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22</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地方特色的民族传统体育项目融入大学体育课程的可行性研究</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吴秋来</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23</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翻转课堂教学模式在高校体育教育专业健美操课程教学中的应用研究</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唐爱英</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24</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面向工程应用的道路勘测设计一体化教学与实践研究</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陈佳艺</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25</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基于校企合作平台</w:t>
            </w:r>
            <w:r w:rsidRPr="00C66CC0">
              <w:rPr>
                <w:rFonts w:hint="eastAsia"/>
                <w:szCs w:val="21"/>
              </w:rPr>
              <w:t>---</w:t>
            </w:r>
            <w:r w:rsidRPr="00C66CC0">
              <w:rPr>
                <w:rFonts w:hint="eastAsia"/>
                <w:szCs w:val="21"/>
              </w:rPr>
              <w:t>构建《</w:t>
            </w:r>
            <w:r w:rsidRPr="00C66CC0">
              <w:rPr>
                <w:rFonts w:hint="eastAsia"/>
                <w:szCs w:val="21"/>
              </w:rPr>
              <w:t>GPS</w:t>
            </w:r>
            <w:r w:rsidRPr="00C66CC0">
              <w:rPr>
                <w:rFonts w:hint="eastAsia"/>
                <w:szCs w:val="21"/>
              </w:rPr>
              <w:t>原理与应用》实践教学体系研究</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王亮</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26</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“学校体育课”课程教学改革与学生说</w:t>
            </w:r>
            <w:proofErr w:type="gramStart"/>
            <w:r w:rsidRPr="00C66CC0">
              <w:rPr>
                <w:rFonts w:hint="eastAsia"/>
                <w:szCs w:val="21"/>
              </w:rPr>
              <w:t>课能力</w:t>
            </w:r>
            <w:proofErr w:type="gramEnd"/>
            <w:r w:rsidRPr="00C66CC0">
              <w:rPr>
                <w:rFonts w:hint="eastAsia"/>
                <w:szCs w:val="21"/>
              </w:rPr>
              <w:t>培养的研究与实践</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曾承志</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27</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基于学习小组的研讨式教学方法的研究与实践</w:t>
            </w:r>
          </w:p>
        </w:tc>
        <w:tc>
          <w:tcPr>
            <w:tcW w:w="938" w:type="dxa"/>
            <w:shd w:val="clear" w:color="auto" w:fill="auto"/>
            <w:vAlign w:val="center"/>
          </w:tcPr>
          <w:p w:rsidR="00C0356F" w:rsidRPr="00C66CC0" w:rsidRDefault="00C0356F" w:rsidP="00167545">
            <w:pPr>
              <w:jc w:val="center"/>
              <w:rPr>
                <w:szCs w:val="21"/>
              </w:rPr>
            </w:pPr>
            <w:proofErr w:type="gramStart"/>
            <w:r w:rsidRPr="00C66CC0">
              <w:rPr>
                <w:rFonts w:hint="eastAsia"/>
                <w:szCs w:val="21"/>
              </w:rPr>
              <w:t>杨梦云</w:t>
            </w:r>
            <w:proofErr w:type="gramEnd"/>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28</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英语翻译专业教学中的美学教育研究</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刘红新</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29</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基于工作过程导向的导游实务课程教学优化研究</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邱艳萍</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30</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基于网络学习空间的《旅游美学》课程教学改革研究</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邓星炬</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31</w:t>
            </w:r>
          </w:p>
        </w:tc>
        <w:tc>
          <w:tcPr>
            <w:tcW w:w="6886" w:type="dxa"/>
            <w:shd w:val="clear" w:color="auto" w:fill="auto"/>
            <w:vAlign w:val="center"/>
          </w:tcPr>
          <w:p w:rsidR="00C0356F" w:rsidRPr="00C66CC0" w:rsidRDefault="00C0356F" w:rsidP="00167545">
            <w:pPr>
              <w:jc w:val="center"/>
              <w:rPr>
                <w:rFonts w:hint="eastAsia"/>
                <w:szCs w:val="21"/>
              </w:rPr>
            </w:pPr>
            <w:proofErr w:type="gramStart"/>
            <w:r w:rsidRPr="00C66CC0">
              <w:rPr>
                <w:rFonts w:hint="eastAsia"/>
                <w:szCs w:val="21"/>
              </w:rPr>
              <w:t>模因论</w:t>
            </w:r>
            <w:proofErr w:type="gramEnd"/>
            <w:r w:rsidRPr="00C66CC0">
              <w:rPr>
                <w:rFonts w:hint="eastAsia"/>
                <w:szCs w:val="21"/>
              </w:rPr>
              <w:t>视角下大学生英语语用能力培养研究与实践</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肖婷</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32</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二本高校英语专业日语课程建设和改革的研究</w:t>
            </w:r>
            <w:r w:rsidRPr="00C66CC0">
              <w:rPr>
                <w:rFonts w:hint="eastAsia"/>
                <w:szCs w:val="21"/>
              </w:rPr>
              <w:t>---</w:t>
            </w:r>
            <w:r w:rsidRPr="00C66CC0">
              <w:rPr>
                <w:rFonts w:hint="eastAsia"/>
                <w:szCs w:val="21"/>
              </w:rPr>
              <w:t>以邵阳学院为例</w:t>
            </w:r>
          </w:p>
        </w:tc>
        <w:tc>
          <w:tcPr>
            <w:tcW w:w="938" w:type="dxa"/>
            <w:shd w:val="clear" w:color="auto" w:fill="auto"/>
            <w:vAlign w:val="center"/>
          </w:tcPr>
          <w:p w:rsidR="00C0356F" w:rsidRPr="00C66CC0" w:rsidRDefault="00C0356F" w:rsidP="00167545">
            <w:pPr>
              <w:jc w:val="center"/>
              <w:rPr>
                <w:szCs w:val="21"/>
              </w:rPr>
            </w:pPr>
            <w:proofErr w:type="gramStart"/>
            <w:r w:rsidRPr="00C66CC0">
              <w:rPr>
                <w:rFonts w:hint="eastAsia"/>
                <w:szCs w:val="21"/>
              </w:rPr>
              <w:t>朱佳强</w:t>
            </w:r>
            <w:proofErr w:type="gramEnd"/>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33</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食品类专业学生创新能力培养体系的改革与实践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吴菲菲</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34</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符合食品专业特色的有机化学教学改革与探索</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周喜</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hint="eastAsia"/>
                <w:szCs w:val="21"/>
              </w:rPr>
            </w:pPr>
            <w:r>
              <w:rPr>
                <w:rFonts w:ascii="宋体" w:hAnsi="宋体" w:cs="宋体" w:hint="eastAsia"/>
                <w:szCs w:val="21"/>
              </w:rPr>
              <w:t>35</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地方性本科院校生物工程专业药理学案例式双语教学方法探索</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刘静霆</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36</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文学理论现行教学模式的弊病及其对策</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朱耀龙</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37</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依托湘西南地域文化，推进写作教学课程资源开发的理论和实践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何良玉</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38</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大学计算机基础课程的</w:t>
            </w:r>
            <w:r w:rsidRPr="00C66CC0">
              <w:rPr>
                <w:rFonts w:hint="eastAsia"/>
                <w:szCs w:val="21"/>
              </w:rPr>
              <w:t>MOOC</w:t>
            </w:r>
            <w:r w:rsidRPr="00C66CC0">
              <w:rPr>
                <w:rFonts w:hint="eastAsia"/>
                <w:szCs w:val="21"/>
              </w:rPr>
              <w:t>建设与翻转课堂实践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刘远军</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Pr>
                <w:rFonts w:ascii="宋体" w:hAnsi="宋体" w:cs="宋体" w:hint="eastAsia"/>
                <w:szCs w:val="21"/>
              </w:rPr>
              <w:t>39</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地方高校电子类专业“聚焦式”实验教学模式的研究与实践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王少杰</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40</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应用型本科院校材料成型及控制工程专业实践教学体系整体优化的研究与实践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吴海江</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bl>
    <w:p w:rsidR="00C0356F" w:rsidRDefault="00C0356F" w:rsidP="00C0356F">
      <w:pPr>
        <w:ind w:right="560"/>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6886"/>
        <w:gridCol w:w="938"/>
        <w:gridCol w:w="783"/>
        <w:gridCol w:w="783"/>
      </w:tblGrid>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序号</w:t>
            </w:r>
          </w:p>
        </w:tc>
        <w:tc>
          <w:tcPr>
            <w:tcW w:w="6886"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项目名称</w:t>
            </w:r>
          </w:p>
        </w:tc>
        <w:tc>
          <w:tcPr>
            <w:tcW w:w="938"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主持人</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项目级别</w:t>
            </w:r>
          </w:p>
        </w:tc>
        <w:tc>
          <w:tcPr>
            <w:tcW w:w="783"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检查结论</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41</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“架空输电线路设计”课程新型教学体系的研究与实践</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尹伟华</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42</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教学质量信息化管理研究与实践</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刘白杨</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43</w:t>
            </w:r>
          </w:p>
        </w:tc>
        <w:tc>
          <w:tcPr>
            <w:tcW w:w="6886" w:type="dxa"/>
            <w:shd w:val="clear" w:color="auto" w:fill="auto"/>
            <w:vAlign w:val="center"/>
          </w:tcPr>
          <w:p w:rsidR="00C0356F" w:rsidRPr="00C66CC0" w:rsidRDefault="00C0356F" w:rsidP="00167545">
            <w:pPr>
              <w:jc w:val="center"/>
              <w:rPr>
                <w:szCs w:val="21"/>
              </w:rPr>
            </w:pPr>
            <w:r w:rsidRPr="00C66CC0">
              <w:rPr>
                <w:rFonts w:hint="eastAsia"/>
                <w:szCs w:val="21"/>
              </w:rPr>
              <w:t>测控专业《虚拟仪器技术》教学改革研究与应用</w:t>
            </w:r>
          </w:p>
        </w:tc>
        <w:tc>
          <w:tcPr>
            <w:tcW w:w="938" w:type="dxa"/>
            <w:shd w:val="clear" w:color="auto" w:fill="auto"/>
            <w:vAlign w:val="center"/>
          </w:tcPr>
          <w:p w:rsidR="00C0356F" w:rsidRPr="00C66CC0" w:rsidRDefault="00C0356F" w:rsidP="00167545">
            <w:pPr>
              <w:jc w:val="center"/>
              <w:rPr>
                <w:szCs w:val="21"/>
              </w:rPr>
            </w:pPr>
            <w:r w:rsidRPr="00C66CC0">
              <w:rPr>
                <w:rFonts w:hint="eastAsia"/>
                <w:szCs w:val="21"/>
              </w:rPr>
              <w:t>李辉</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44</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《电路》课程内容练习的研究与设计</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陈源</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45</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中国现代文学课程教学改革与学生阅读兴趣的培养研究</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李婷</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46</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大散文视野下散文研究课程教学研究与实践</w:t>
            </w:r>
          </w:p>
        </w:tc>
        <w:tc>
          <w:tcPr>
            <w:tcW w:w="938"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蒋玉兰</w:t>
            </w:r>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r w:rsidR="00C0356F" w:rsidRPr="00B17A11" w:rsidTr="00167545">
        <w:trPr>
          <w:trHeight w:val="624"/>
          <w:jc w:val="center"/>
        </w:trPr>
        <w:tc>
          <w:tcPr>
            <w:tcW w:w="589" w:type="dxa"/>
            <w:shd w:val="clear" w:color="auto" w:fill="auto"/>
            <w:vAlign w:val="center"/>
          </w:tcPr>
          <w:p w:rsidR="00C0356F" w:rsidRPr="00B17A11" w:rsidRDefault="00C0356F" w:rsidP="00167545">
            <w:pPr>
              <w:jc w:val="center"/>
              <w:rPr>
                <w:rFonts w:ascii="宋体" w:hAnsi="宋体" w:cs="宋体"/>
                <w:szCs w:val="21"/>
              </w:rPr>
            </w:pPr>
            <w:r w:rsidRPr="00B17A11">
              <w:rPr>
                <w:rFonts w:ascii="宋体" w:hAnsi="宋体" w:cs="宋体" w:hint="eastAsia"/>
                <w:szCs w:val="21"/>
              </w:rPr>
              <w:t>47</w:t>
            </w:r>
          </w:p>
        </w:tc>
        <w:tc>
          <w:tcPr>
            <w:tcW w:w="6886" w:type="dxa"/>
            <w:shd w:val="clear" w:color="auto" w:fill="auto"/>
            <w:vAlign w:val="center"/>
          </w:tcPr>
          <w:p w:rsidR="00C0356F" w:rsidRPr="00C66CC0" w:rsidRDefault="00C0356F" w:rsidP="00167545">
            <w:pPr>
              <w:jc w:val="center"/>
              <w:rPr>
                <w:rFonts w:hint="eastAsia"/>
                <w:szCs w:val="21"/>
              </w:rPr>
            </w:pPr>
            <w:r w:rsidRPr="00C66CC0">
              <w:rPr>
                <w:rFonts w:hint="eastAsia"/>
                <w:szCs w:val="21"/>
              </w:rPr>
              <w:t>大学语文古典诗词“三感”教学初探</w:t>
            </w:r>
          </w:p>
        </w:tc>
        <w:tc>
          <w:tcPr>
            <w:tcW w:w="938" w:type="dxa"/>
            <w:shd w:val="clear" w:color="auto" w:fill="auto"/>
            <w:vAlign w:val="center"/>
          </w:tcPr>
          <w:p w:rsidR="00C0356F" w:rsidRPr="00C66CC0" w:rsidRDefault="00C0356F" w:rsidP="00167545">
            <w:pPr>
              <w:jc w:val="center"/>
              <w:rPr>
                <w:rFonts w:hint="eastAsia"/>
                <w:szCs w:val="21"/>
              </w:rPr>
            </w:pPr>
            <w:proofErr w:type="gramStart"/>
            <w:r w:rsidRPr="00C66CC0">
              <w:rPr>
                <w:rFonts w:hint="eastAsia"/>
                <w:szCs w:val="21"/>
              </w:rPr>
              <w:t>陈检英</w:t>
            </w:r>
            <w:proofErr w:type="gramEnd"/>
          </w:p>
        </w:tc>
        <w:tc>
          <w:tcPr>
            <w:tcW w:w="783" w:type="dxa"/>
            <w:shd w:val="clear" w:color="auto" w:fill="auto"/>
            <w:vAlign w:val="center"/>
          </w:tcPr>
          <w:p w:rsidR="00C0356F" w:rsidRPr="00C66CC0" w:rsidRDefault="00C0356F" w:rsidP="00167545">
            <w:pPr>
              <w:jc w:val="center"/>
              <w:rPr>
                <w:szCs w:val="21"/>
              </w:rPr>
            </w:pPr>
            <w:r w:rsidRPr="00C66CC0">
              <w:rPr>
                <w:rFonts w:ascii="宋体" w:hAnsi="宋体" w:hint="eastAsia"/>
                <w:szCs w:val="21"/>
              </w:rPr>
              <w:t>校级</w:t>
            </w:r>
          </w:p>
        </w:tc>
        <w:tc>
          <w:tcPr>
            <w:tcW w:w="783" w:type="dxa"/>
            <w:shd w:val="clear" w:color="auto" w:fill="auto"/>
            <w:vAlign w:val="center"/>
          </w:tcPr>
          <w:p w:rsidR="00C0356F" w:rsidRPr="00C66CC0" w:rsidRDefault="00C0356F" w:rsidP="00167545">
            <w:pPr>
              <w:jc w:val="center"/>
              <w:rPr>
                <w:szCs w:val="21"/>
              </w:rPr>
            </w:pPr>
            <w:r w:rsidRPr="00C66CC0">
              <w:rPr>
                <w:rFonts w:hint="eastAsia"/>
                <w:szCs w:val="21"/>
              </w:rPr>
              <w:t>合格</w:t>
            </w:r>
          </w:p>
        </w:tc>
      </w:tr>
    </w:tbl>
    <w:p w:rsidR="00C0356F" w:rsidRDefault="00C0356F" w:rsidP="00C0356F">
      <w:pPr>
        <w:rPr>
          <w:rFonts w:ascii="宋体" w:hAnsi="宋体" w:hint="eastAsia"/>
          <w:sz w:val="24"/>
        </w:rPr>
      </w:pPr>
      <w:r>
        <w:rPr>
          <w:rFonts w:ascii="宋体" w:hAnsi="宋体" w:hint="eastAsia"/>
          <w:sz w:val="24"/>
        </w:rPr>
        <w:t xml:space="preserve"> </w:t>
      </w:r>
    </w:p>
    <w:p w:rsidR="00C0356F" w:rsidRPr="002F473D" w:rsidRDefault="00C0356F">
      <w:pPr>
        <w:rPr>
          <w:sz w:val="24"/>
          <w:szCs w:val="24"/>
        </w:rPr>
      </w:pPr>
      <w:bookmarkStart w:id="1" w:name="_GoBack"/>
      <w:bookmarkEnd w:id="1"/>
    </w:p>
    <w:sectPr w:rsidR="00C0356F" w:rsidRPr="002F473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9A" w:rsidRDefault="00775D9A" w:rsidP="004B5FD9">
      <w:r>
        <w:separator/>
      </w:r>
    </w:p>
  </w:endnote>
  <w:endnote w:type="continuationSeparator" w:id="0">
    <w:p w:rsidR="00775D9A" w:rsidRDefault="00775D9A" w:rsidP="004B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F" w:rsidRDefault="00C035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F" w:rsidRDefault="00C035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F" w:rsidRDefault="00C03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9A" w:rsidRDefault="00775D9A" w:rsidP="004B5FD9">
      <w:r>
        <w:separator/>
      </w:r>
    </w:p>
  </w:footnote>
  <w:footnote w:type="continuationSeparator" w:id="0">
    <w:p w:rsidR="00775D9A" w:rsidRDefault="00775D9A" w:rsidP="004B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F" w:rsidRDefault="00C035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D9" w:rsidRDefault="004B5FD9" w:rsidP="00C0356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F" w:rsidRDefault="00C035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B7"/>
    <w:rsid w:val="000001F7"/>
    <w:rsid w:val="00000EC0"/>
    <w:rsid w:val="00001079"/>
    <w:rsid w:val="00007D3C"/>
    <w:rsid w:val="000229AE"/>
    <w:rsid w:val="00023528"/>
    <w:rsid w:val="00024518"/>
    <w:rsid w:val="0002671B"/>
    <w:rsid w:val="000317BE"/>
    <w:rsid w:val="00036B74"/>
    <w:rsid w:val="00042E23"/>
    <w:rsid w:val="0004656E"/>
    <w:rsid w:val="000466CA"/>
    <w:rsid w:val="00047EF9"/>
    <w:rsid w:val="000522D6"/>
    <w:rsid w:val="00055031"/>
    <w:rsid w:val="000616B2"/>
    <w:rsid w:val="00061A4A"/>
    <w:rsid w:val="00067685"/>
    <w:rsid w:val="00092FD9"/>
    <w:rsid w:val="000961B5"/>
    <w:rsid w:val="000B085F"/>
    <w:rsid w:val="000B2674"/>
    <w:rsid w:val="000C085E"/>
    <w:rsid w:val="000E0707"/>
    <w:rsid w:val="000E6367"/>
    <w:rsid w:val="000F01C6"/>
    <w:rsid w:val="000F1E9C"/>
    <w:rsid w:val="00104B08"/>
    <w:rsid w:val="00121581"/>
    <w:rsid w:val="00125CBD"/>
    <w:rsid w:val="0013311B"/>
    <w:rsid w:val="00133565"/>
    <w:rsid w:val="001371F6"/>
    <w:rsid w:val="00144167"/>
    <w:rsid w:val="001622C9"/>
    <w:rsid w:val="00167007"/>
    <w:rsid w:val="00183AE0"/>
    <w:rsid w:val="001859EC"/>
    <w:rsid w:val="001A06CD"/>
    <w:rsid w:val="001A7E5B"/>
    <w:rsid w:val="001B2DEB"/>
    <w:rsid w:val="001B376D"/>
    <w:rsid w:val="001C02BD"/>
    <w:rsid w:val="001D20F8"/>
    <w:rsid w:val="001E2EF9"/>
    <w:rsid w:val="001E416E"/>
    <w:rsid w:val="001E7E86"/>
    <w:rsid w:val="001F5761"/>
    <w:rsid w:val="00201C87"/>
    <w:rsid w:val="002024B4"/>
    <w:rsid w:val="00210681"/>
    <w:rsid w:val="00210C7F"/>
    <w:rsid w:val="00210F9C"/>
    <w:rsid w:val="00215390"/>
    <w:rsid w:val="002227BD"/>
    <w:rsid w:val="00242472"/>
    <w:rsid w:val="002506CA"/>
    <w:rsid w:val="00251AED"/>
    <w:rsid w:val="002609C5"/>
    <w:rsid w:val="00263EA2"/>
    <w:rsid w:val="00264742"/>
    <w:rsid w:val="00281881"/>
    <w:rsid w:val="0028357D"/>
    <w:rsid w:val="002847AF"/>
    <w:rsid w:val="002870E4"/>
    <w:rsid w:val="002913D5"/>
    <w:rsid w:val="00292E37"/>
    <w:rsid w:val="002A01E3"/>
    <w:rsid w:val="002A2221"/>
    <w:rsid w:val="002B41FA"/>
    <w:rsid w:val="002B5E51"/>
    <w:rsid w:val="002C0B68"/>
    <w:rsid w:val="002C496B"/>
    <w:rsid w:val="002C62C6"/>
    <w:rsid w:val="002D1140"/>
    <w:rsid w:val="002D1513"/>
    <w:rsid w:val="002D6F06"/>
    <w:rsid w:val="002E5372"/>
    <w:rsid w:val="002E663E"/>
    <w:rsid w:val="002E765C"/>
    <w:rsid w:val="002F473D"/>
    <w:rsid w:val="002F5290"/>
    <w:rsid w:val="0030129E"/>
    <w:rsid w:val="003025F7"/>
    <w:rsid w:val="00302F4C"/>
    <w:rsid w:val="0030390B"/>
    <w:rsid w:val="003042E2"/>
    <w:rsid w:val="00311527"/>
    <w:rsid w:val="00312EEA"/>
    <w:rsid w:val="003261AE"/>
    <w:rsid w:val="00333EDA"/>
    <w:rsid w:val="00333F05"/>
    <w:rsid w:val="00334024"/>
    <w:rsid w:val="00345F5F"/>
    <w:rsid w:val="00352188"/>
    <w:rsid w:val="00353663"/>
    <w:rsid w:val="003552AC"/>
    <w:rsid w:val="003706E3"/>
    <w:rsid w:val="00375AD7"/>
    <w:rsid w:val="0037672A"/>
    <w:rsid w:val="00376B62"/>
    <w:rsid w:val="00381969"/>
    <w:rsid w:val="00390835"/>
    <w:rsid w:val="00390C94"/>
    <w:rsid w:val="0039772D"/>
    <w:rsid w:val="00397F9B"/>
    <w:rsid w:val="003B14B5"/>
    <w:rsid w:val="003C17F9"/>
    <w:rsid w:val="003D2D96"/>
    <w:rsid w:val="003D3F5E"/>
    <w:rsid w:val="003E128E"/>
    <w:rsid w:val="003F321A"/>
    <w:rsid w:val="003F525A"/>
    <w:rsid w:val="003F594C"/>
    <w:rsid w:val="00400D83"/>
    <w:rsid w:val="00405537"/>
    <w:rsid w:val="00413EF4"/>
    <w:rsid w:val="00432479"/>
    <w:rsid w:val="0043647D"/>
    <w:rsid w:val="00447887"/>
    <w:rsid w:val="00453471"/>
    <w:rsid w:val="00470F2A"/>
    <w:rsid w:val="004739DB"/>
    <w:rsid w:val="00482A10"/>
    <w:rsid w:val="0049680F"/>
    <w:rsid w:val="0049720A"/>
    <w:rsid w:val="004A0CD7"/>
    <w:rsid w:val="004A403E"/>
    <w:rsid w:val="004A43BD"/>
    <w:rsid w:val="004B32FB"/>
    <w:rsid w:val="004B5FD9"/>
    <w:rsid w:val="004C05BC"/>
    <w:rsid w:val="004C6D61"/>
    <w:rsid w:val="004C7444"/>
    <w:rsid w:val="004C77C0"/>
    <w:rsid w:val="004C7C27"/>
    <w:rsid w:val="004D256C"/>
    <w:rsid w:val="004D2827"/>
    <w:rsid w:val="004E0C97"/>
    <w:rsid w:val="004E55D4"/>
    <w:rsid w:val="004E6343"/>
    <w:rsid w:val="004F012D"/>
    <w:rsid w:val="004F5258"/>
    <w:rsid w:val="00501690"/>
    <w:rsid w:val="00503125"/>
    <w:rsid w:val="005271FF"/>
    <w:rsid w:val="00535B49"/>
    <w:rsid w:val="005452E5"/>
    <w:rsid w:val="00547175"/>
    <w:rsid w:val="00557736"/>
    <w:rsid w:val="0056267F"/>
    <w:rsid w:val="005924F3"/>
    <w:rsid w:val="00592FC6"/>
    <w:rsid w:val="00593106"/>
    <w:rsid w:val="00593366"/>
    <w:rsid w:val="00595393"/>
    <w:rsid w:val="005A6157"/>
    <w:rsid w:val="005B79F4"/>
    <w:rsid w:val="005C2829"/>
    <w:rsid w:val="005C2C5E"/>
    <w:rsid w:val="005C361C"/>
    <w:rsid w:val="005C47DE"/>
    <w:rsid w:val="005D618F"/>
    <w:rsid w:val="005E65E3"/>
    <w:rsid w:val="005E6B12"/>
    <w:rsid w:val="005F39FE"/>
    <w:rsid w:val="00600AE0"/>
    <w:rsid w:val="006133BC"/>
    <w:rsid w:val="00617DEC"/>
    <w:rsid w:val="00620603"/>
    <w:rsid w:val="006214A1"/>
    <w:rsid w:val="00622077"/>
    <w:rsid w:val="0062758B"/>
    <w:rsid w:val="00627C9B"/>
    <w:rsid w:val="006325DA"/>
    <w:rsid w:val="0063544F"/>
    <w:rsid w:val="00636C94"/>
    <w:rsid w:val="006423EB"/>
    <w:rsid w:val="0064266A"/>
    <w:rsid w:val="00643EEB"/>
    <w:rsid w:val="0064470A"/>
    <w:rsid w:val="00645103"/>
    <w:rsid w:val="0064522A"/>
    <w:rsid w:val="006545C8"/>
    <w:rsid w:val="006545CE"/>
    <w:rsid w:val="0065777A"/>
    <w:rsid w:val="00663224"/>
    <w:rsid w:val="0066341E"/>
    <w:rsid w:val="0066659E"/>
    <w:rsid w:val="006673A9"/>
    <w:rsid w:val="006702A4"/>
    <w:rsid w:val="006725D1"/>
    <w:rsid w:val="006778B5"/>
    <w:rsid w:val="00683C3A"/>
    <w:rsid w:val="006916C3"/>
    <w:rsid w:val="00694450"/>
    <w:rsid w:val="006A1B95"/>
    <w:rsid w:val="006A3242"/>
    <w:rsid w:val="006A5EC8"/>
    <w:rsid w:val="006A62AB"/>
    <w:rsid w:val="006A63AB"/>
    <w:rsid w:val="006B0847"/>
    <w:rsid w:val="006B0B98"/>
    <w:rsid w:val="006B1B3D"/>
    <w:rsid w:val="006B4C76"/>
    <w:rsid w:val="006B54FB"/>
    <w:rsid w:val="006C3BD8"/>
    <w:rsid w:val="006C5D7C"/>
    <w:rsid w:val="006D46E0"/>
    <w:rsid w:val="006D66CB"/>
    <w:rsid w:val="006E0D1C"/>
    <w:rsid w:val="006F3D6F"/>
    <w:rsid w:val="00700256"/>
    <w:rsid w:val="007007AA"/>
    <w:rsid w:val="0070636A"/>
    <w:rsid w:val="00707418"/>
    <w:rsid w:val="007125E8"/>
    <w:rsid w:val="007141FB"/>
    <w:rsid w:val="00722F91"/>
    <w:rsid w:val="00724A9C"/>
    <w:rsid w:val="0072685B"/>
    <w:rsid w:val="00730403"/>
    <w:rsid w:val="00732CFB"/>
    <w:rsid w:val="00732E7A"/>
    <w:rsid w:val="00742276"/>
    <w:rsid w:val="00764032"/>
    <w:rsid w:val="00764606"/>
    <w:rsid w:val="00766CDE"/>
    <w:rsid w:val="00766E4E"/>
    <w:rsid w:val="0076715C"/>
    <w:rsid w:val="0077207C"/>
    <w:rsid w:val="00775D9A"/>
    <w:rsid w:val="007868AD"/>
    <w:rsid w:val="0079125B"/>
    <w:rsid w:val="007A4984"/>
    <w:rsid w:val="007A7CF8"/>
    <w:rsid w:val="007A7D1C"/>
    <w:rsid w:val="007B321F"/>
    <w:rsid w:val="007C151A"/>
    <w:rsid w:val="007C3654"/>
    <w:rsid w:val="007C459D"/>
    <w:rsid w:val="007C473C"/>
    <w:rsid w:val="007D28BA"/>
    <w:rsid w:val="007D3293"/>
    <w:rsid w:val="007D47EE"/>
    <w:rsid w:val="007E5C34"/>
    <w:rsid w:val="00813302"/>
    <w:rsid w:val="00821D11"/>
    <w:rsid w:val="00821F20"/>
    <w:rsid w:val="008230AA"/>
    <w:rsid w:val="008256CE"/>
    <w:rsid w:val="0082663C"/>
    <w:rsid w:val="008269EB"/>
    <w:rsid w:val="0083022C"/>
    <w:rsid w:val="00830B3D"/>
    <w:rsid w:val="0084061E"/>
    <w:rsid w:val="00860A8B"/>
    <w:rsid w:val="00862CAB"/>
    <w:rsid w:val="00864E17"/>
    <w:rsid w:val="008707B9"/>
    <w:rsid w:val="008720ED"/>
    <w:rsid w:val="00875C21"/>
    <w:rsid w:val="00876718"/>
    <w:rsid w:val="008854BE"/>
    <w:rsid w:val="00893524"/>
    <w:rsid w:val="008961BF"/>
    <w:rsid w:val="008B0AAB"/>
    <w:rsid w:val="008B679D"/>
    <w:rsid w:val="008B7C0F"/>
    <w:rsid w:val="008C74D0"/>
    <w:rsid w:val="008C7D8F"/>
    <w:rsid w:val="008E1FC0"/>
    <w:rsid w:val="008E4A90"/>
    <w:rsid w:val="008F2B9A"/>
    <w:rsid w:val="00902B23"/>
    <w:rsid w:val="00905558"/>
    <w:rsid w:val="0090589B"/>
    <w:rsid w:val="009064DE"/>
    <w:rsid w:val="00913F9D"/>
    <w:rsid w:val="00916CD3"/>
    <w:rsid w:val="00920FCF"/>
    <w:rsid w:val="00921945"/>
    <w:rsid w:val="00923A4B"/>
    <w:rsid w:val="00924371"/>
    <w:rsid w:val="0093433A"/>
    <w:rsid w:val="009343C0"/>
    <w:rsid w:val="00941C3F"/>
    <w:rsid w:val="00944413"/>
    <w:rsid w:val="00944B95"/>
    <w:rsid w:val="00946233"/>
    <w:rsid w:val="00950885"/>
    <w:rsid w:val="00960B7A"/>
    <w:rsid w:val="00961DD0"/>
    <w:rsid w:val="00963BED"/>
    <w:rsid w:val="00966A2C"/>
    <w:rsid w:val="0096740C"/>
    <w:rsid w:val="0097259A"/>
    <w:rsid w:val="009771A7"/>
    <w:rsid w:val="00980EC6"/>
    <w:rsid w:val="00990C5C"/>
    <w:rsid w:val="009910A0"/>
    <w:rsid w:val="009916FF"/>
    <w:rsid w:val="00996DD4"/>
    <w:rsid w:val="00997562"/>
    <w:rsid w:val="009A5841"/>
    <w:rsid w:val="009A768D"/>
    <w:rsid w:val="009B45C0"/>
    <w:rsid w:val="009C280E"/>
    <w:rsid w:val="009C7DDE"/>
    <w:rsid w:val="009D2393"/>
    <w:rsid w:val="009E1EF7"/>
    <w:rsid w:val="009E6FA9"/>
    <w:rsid w:val="009F34FF"/>
    <w:rsid w:val="00A036BD"/>
    <w:rsid w:val="00A03A4B"/>
    <w:rsid w:val="00A06305"/>
    <w:rsid w:val="00A06AE6"/>
    <w:rsid w:val="00A22B08"/>
    <w:rsid w:val="00A22D06"/>
    <w:rsid w:val="00A2459F"/>
    <w:rsid w:val="00A266C7"/>
    <w:rsid w:val="00A37497"/>
    <w:rsid w:val="00A40427"/>
    <w:rsid w:val="00A41A69"/>
    <w:rsid w:val="00A4324C"/>
    <w:rsid w:val="00A45E80"/>
    <w:rsid w:val="00A50CB7"/>
    <w:rsid w:val="00A52FE9"/>
    <w:rsid w:val="00A633B7"/>
    <w:rsid w:val="00A63AE6"/>
    <w:rsid w:val="00A67528"/>
    <w:rsid w:val="00A70F56"/>
    <w:rsid w:val="00A82135"/>
    <w:rsid w:val="00A82E8E"/>
    <w:rsid w:val="00A92CB8"/>
    <w:rsid w:val="00AA4580"/>
    <w:rsid w:val="00AA5802"/>
    <w:rsid w:val="00AB046A"/>
    <w:rsid w:val="00AB5505"/>
    <w:rsid w:val="00AC0939"/>
    <w:rsid w:val="00AD2D27"/>
    <w:rsid w:val="00AD7400"/>
    <w:rsid w:val="00AE56AC"/>
    <w:rsid w:val="00AF0740"/>
    <w:rsid w:val="00AF1F3C"/>
    <w:rsid w:val="00AF383B"/>
    <w:rsid w:val="00AF59C4"/>
    <w:rsid w:val="00AF7531"/>
    <w:rsid w:val="00B0126A"/>
    <w:rsid w:val="00B10815"/>
    <w:rsid w:val="00B10DD7"/>
    <w:rsid w:val="00B134E9"/>
    <w:rsid w:val="00B141AD"/>
    <w:rsid w:val="00B16928"/>
    <w:rsid w:val="00B238A4"/>
    <w:rsid w:val="00B27899"/>
    <w:rsid w:val="00B31FCD"/>
    <w:rsid w:val="00B3419F"/>
    <w:rsid w:val="00B42F9B"/>
    <w:rsid w:val="00B42FA3"/>
    <w:rsid w:val="00B46383"/>
    <w:rsid w:val="00B46ABA"/>
    <w:rsid w:val="00B46BCD"/>
    <w:rsid w:val="00B53243"/>
    <w:rsid w:val="00B5410F"/>
    <w:rsid w:val="00B60643"/>
    <w:rsid w:val="00B63F0D"/>
    <w:rsid w:val="00B713FD"/>
    <w:rsid w:val="00B7784D"/>
    <w:rsid w:val="00B86106"/>
    <w:rsid w:val="00B8777E"/>
    <w:rsid w:val="00BA24B4"/>
    <w:rsid w:val="00BB3E17"/>
    <w:rsid w:val="00BB6A3B"/>
    <w:rsid w:val="00BC0387"/>
    <w:rsid w:val="00BD1F82"/>
    <w:rsid w:val="00BD2859"/>
    <w:rsid w:val="00BD2FD3"/>
    <w:rsid w:val="00BD764C"/>
    <w:rsid w:val="00BE01BE"/>
    <w:rsid w:val="00BE2945"/>
    <w:rsid w:val="00BE784C"/>
    <w:rsid w:val="00BF1BC3"/>
    <w:rsid w:val="00BF2D72"/>
    <w:rsid w:val="00C0356F"/>
    <w:rsid w:val="00C06372"/>
    <w:rsid w:val="00C14A29"/>
    <w:rsid w:val="00C22C05"/>
    <w:rsid w:val="00C22D74"/>
    <w:rsid w:val="00C33239"/>
    <w:rsid w:val="00C35D90"/>
    <w:rsid w:val="00C378DA"/>
    <w:rsid w:val="00C4726A"/>
    <w:rsid w:val="00C51B11"/>
    <w:rsid w:val="00C557EC"/>
    <w:rsid w:val="00C638D4"/>
    <w:rsid w:val="00C67EE5"/>
    <w:rsid w:val="00C71D7C"/>
    <w:rsid w:val="00C77761"/>
    <w:rsid w:val="00C84806"/>
    <w:rsid w:val="00C93102"/>
    <w:rsid w:val="00C96F1C"/>
    <w:rsid w:val="00CA719A"/>
    <w:rsid w:val="00CC4FB8"/>
    <w:rsid w:val="00CD7306"/>
    <w:rsid w:val="00CD760E"/>
    <w:rsid w:val="00CE0216"/>
    <w:rsid w:val="00CE15E6"/>
    <w:rsid w:val="00CF1CDC"/>
    <w:rsid w:val="00CF420E"/>
    <w:rsid w:val="00CF7825"/>
    <w:rsid w:val="00D026B2"/>
    <w:rsid w:val="00D06365"/>
    <w:rsid w:val="00D07BCB"/>
    <w:rsid w:val="00D14BBC"/>
    <w:rsid w:val="00D14E98"/>
    <w:rsid w:val="00D161F8"/>
    <w:rsid w:val="00D37B24"/>
    <w:rsid w:val="00D37FE3"/>
    <w:rsid w:val="00D47BE2"/>
    <w:rsid w:val="00D50A68"/>
    <w:rsid w:val="00D6458F"/>
    <w:rsid w:val="00D75BAE"/>
    <w:rsid w:val="00D76EA8"/>
    <w:rsid w:val="00D819B8"/>
    <w:rsid w:val="00D87F11"/>
    <w:rsid w:val="00DA1B1A"/>
    <w:rsid w:val="00DA4DAA"/>
    <w:rsid w:val="00DC0B98"/>
    <w:rsid w:val="00DC2650"/>
    <w:rsid w:val="00DC50FF"/>
    <w:rsid w:val="00DD091F"/>
    <w:rsid w:val="00DD121B"/>
    <w:rsid w:val="00DD1B77"/>
    <w:rsid w:val="00DD44C2"/>
    <w:rsid w:val="00DD76B0"/>
    <w:rsid w:val="00DF3505"/>
    <w:rsid w:val="00DF5457"/>
    <w:rsid w:val="00E01A42"/>
    <w:rsid w:val="00E03117"/>
    <w:rsid w:val="00E035AE"/>
    <w:rsid w:val="00E05352"/>
    <w:rsid w:val="00E077FD"/>
    <w:rsid w:val="00E17FD2"/>
    <w:rsid w:val="00E2532C"/>
    <w:rsid w:val="00E313BB"/>
    <w:rsid w:val="00E31B81"/>
    <w:rsid w:val="00E354DF"/>
    <w:rsid w:val="00E37CB1"/>
    <w:rsid w:val="00E40A36"/>
    <w:rsid w:val="00E51B28"/>
    <w:rsid w:val="00E60EDE"/>
    <w:rsid w:val="00E61E34"/>
    <w:rsid w:val="00E64070"/>
    <w:rsid w:val="00E660AF"/>
    <w:rsid w:val="00E719D2"/>
    <w:rsid w:val="00E73C31"/>
    <w:rsid w:val="00E73C97"/>
    <w:rsid w:val="00E7439D"/>
    <w:rsid w:val="00E7468C"/>
    <w:rsid w:val="00E84426"/>
    <w:rsid w:val="00E8656C"/>
    <w:rsid w:val="00E90916"/>
    <w:rsid w:val="00EA37CA"/>
    <w:rsid w:val="00EA77DE"/>
    <w:rsid w:val="00EA7DE3"/>
    <w:rsid w:val="00EC094E"/>
    <w:rsid w:val="00EC17D5"/>
    <w:rsid w:val="00EC3616"/>
    <w:rsid w:val="00EC7C91"/>
    <w:rsid w:val="00ED2034"/>
    <w:rsid w:val="00EE0266"/>
    <w:rsid w:val="00EE0FAA"/>
    <w:rsid w:val="00EE1FD9"/>
    <w:rsid w:val="00EE2F2A"/>
    <w:rsid w:val="00EE3CC2"/>
    <w:rsid w:val="00EE5C3E"/>
    <w:rsid w:val="00EE6C68"/>
    <w:rsid w:val="00EF273F"/>
    <w:rsid w:val="00EF62E8"/>
    <w:rsid w:val="00EF7F49"/>
    <w:rsid w:val="00F125A3"/>
    <w:rsid w:val="00F256D4"/>
    <w:rsid w:val="00F357D1"/>
    <w:rsid w:val="00F47087"/>
    <w:rsid w:val="00F476F3"/>
    <w:rsid w:val="00F5435F"/>
    <w:rsid w:val="00F61224"/>
    <w:rsid w:val="00F613DE"/>
    <w:rsid w:val="00F70820"/>
    <w:rsid w:val="00F738CF"/>
    <w:rsid w:val="00F76260"/>
    <w:rsid w:val="00F80A08"/>
    <w:rsid w:val="00F8497D"/>
    <w:rsid w:val="00F865CF"/>
    <w:rsid w:val="00F877DD"/>
    <w:rsid w:val="00F906E8"/>
    <w:rsid w:val="00F93A3B"/>
    <w:rsid w:val="00F95A6A"/>
    <w:rsid w:val="00FA331D"/>
    <w:rsid w:val="00FA3B4B"/>
    <w:rsid w:val="00FB0F7B"/>
    <w:rsid w:val="00FC5790"/>
    <w:rsid w:val="00FC6721"/>
    <w:rsid w:val="00FC75A3"/>
    <w:rsid w:val="00FD17F8"/>
    <w:rsid w:val="00FE7BA1"/>
    <w:rsid w:val="00FF15B0"/>
    <w:rsid w:val="00FF1F1B"/>
    <w:rsid w:val="00FF3B4C"/>
    <w:rsid w:val="00FF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FD9"/>
    <w:rPr>
      <w:sz w:val="18"/>
      <w:szCs w:val="18"/>
    </w:rPr>
  </w:style>
  <w:style w:type="paragraph" w:styleId="a4">
    <w:name w:val="footer"/>
    <w:basedOn w:val="a"/>
    <w:link w:val="Char0"/>
    <w:uiPriority w:val="99"/>
    <w:unhideWhenUsed/>
    <w:rsid w:val="004B5FD9"/>
    <w:pPr>
      <w:tabs>
        <w:tab w:val="center" w:pos="4153"/>
        <w:tab w:val="right" w:pos="8306"/>
      </w:tabs>
      <w:snapToGrid w:val="0"/>
      <w:jc w:val="left"/>
    </w:pPr>
    <w:rPr>
      <w:sz w:val="18"/>
      <w:szCs w:val="18"/>
    </w:rPr>
  </w:style>
  <w:style w:type="character" w:customStyle="1" w:styleId="Char0">
    <w:name w:val="页脚 Char"/>
    <w:basedOn w:val="a0"/>
    <w:link w:val="a4"/>
    <w:uiPriority w:val="99"/>
    <w:rsid w:val="004B5FD9"/>
    <w:rPr>
      <w:sz w:val="18"/>
      <w:szCs w:val="18"/>
    </w:rPr>
  </w:style>
  <w:style w:type="paragraph" w:styleId="a5">
    <w:name w:val="Normal (Web)"/>
    <w:basedOn w:val="a"/>
    <w:uiPriority w:val="99"/>
    <w:semiHidden/>
    <w:unhideWhenUsed/>
    <w:rsid w:val="004B5FD9"/>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C0356F"/>
    <w:pPr>
      <w:ind w:leftChars="2500" w:left="100"/>
    </w:pPr>
  </w:style>
  <w:style w:type="character" w:customStyle="1" w:styleId="Char1">
    <w:name w:val="日期 Char"/>
    <w:basedOn w:val="a0"/>
    <w:link w:val="a6"/>
    <w:uiPriority w:val="99"/>
    <w:semiHidden/>
    <w:rsid w:val="00C0356F"/>
  </w:style>
  <w:style w:type="paragraph" w:styleId="a7">
    <w:name w:val="Body Text Indent"/>
    <w:basedOn w:val="a"/>
    <w:next w:val="a"/>
    <w:link w:val="Char2"/>
    <w:rsid w:val="00C0356F"/>
    <w:pPr>
      <w:widowControl/>
      <w:ind w:firstLine="420"/>
    </w:pPr>
    <w:rPr>
      <w:rFonts w:ascii="Times New Roman" w:eastAsia="宋体" w:hAnsi="Times New Roman" w:cs="Times New Roman"/>
      <w:color w:val="000000"/>
      <w:szCs w:val="24"/>
    </w:rPr>
  </w:style>
  <w:style w:type="character" w:customStyle="1" w:styleId="Char2">
    <w:name w:val="正文文本缩进 Char"/>
    <w:basedOn w:val="a0"/>
    <w:link w:val="a7"/>
    <w:rsid w:val="00C0356F"/>
    <w:rPr>
      <w:rFonts w:ascii="Times New Roman" w:eastAsia="宋体"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FD9"/>
    <w:rPr>
      <w:sz w:val="18"/>
      <w:szCs w:val="18"/>
    </w:rPr>
  </w:style>
  <w:style w:type="paragraph" w:styleId="a4">
    <w:name w:val="footer"/>
    <w:basedOn w:val="a"/>
    <w:link w:val="Char0"/>
    <w:uiPriority w:val="99"/>
    <w:unhideWhenUsed/>
    <w:rsid w:val="004B5FD9"/>
    <w:pPr>
      <w:tabs>
        <w:tab w:val="center" w:pos="4153"/>
        <w:tab w:val="right" w:pos="8306"/>
      </w:tabs>
      <w:snapToGrid w:val="0"/>
      <w:jc w:val="left"/>
    </w:pPr>
    <w:rPr>
      <w:sz w:val="18"/>
      <w:szCs w:val="18"/>
    </w:rPr>
  </w:style>
  <w:style w:type="character" w:customStyle="1" w:styleId="Char0">
    <w:name w:val="页脚 Char"/>
    <w:basedOn w:val="a0"/>
    <w:link w:val="a4"/>
    <w:uiPriority w:val="99"/>
    <w:rsid w:val="004B5FD9"/>
    <w:rPr>
      <w:sz w:val="18"/>
      <w:szCs w:val="18"/>
    </w:rPr>
  </w:style>
  <w:style w:type="paragraph" w:styleId="a5">
    <w:name w:val="Normal (Web)"/>
    <w:basedOn w:val="a"/>
    <w:uiPriority w:val="99"/>
    <w:semiHidden/>
    <w:unhideWhenUsed/>
    <w:rsid w:val="004B5FD9"/>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C0356F"/>
    <w:pPr>
      <w:ind w:leftChars="2500" w:left="100"/>
    </w:pPr>
  </w:style>
  <w:style w:type="character" w:customStyle="1" w:styleId="Char1">
    <w:name w:val="日期 Char"/>
    <w:basedOn w:val="a0"/>
    <w:link w:val="a6"/>
    <w:uiPriority w:val="99"/>
    <w:semiHidden/>
    <w:rsid w:val="00C0356F"/>
  </w:style>
  <w:style w:type="paragraph" w:styleId="a7">
    <w:name w:val="Body Text Indent"/>
    <w:basedOn w:val="a"/>
    <w:next w:val="a"/>
    <w:link w:val="Char2"/>
    <w:rsid w:val="00C0356F"/>
    <w:pPr>
      <w:widowControl/>
      <w:ind w:firstLine="420"/>
    </w:pPr>
    <w:rPr>
      <w:rFonts w:ascii="Times New Roman" w:eastAsia="宋体" w:hAnsi="Times New Roman" w:cs="Times New Roman"/>
      <w:color w:val="000000"/>
      <w:szCs w:val="24"/>
    </w:rPr>
  </w:style>
  <w:style w:type="character" w:customStyle="1" w:styleId="Char2">
    <w:name w:val="正文文本缩进 Char"/>
    <w:basedOn w:val="a0"/>
    <w:link w:val="a7"/>
    <w:rsid w:val="00C0356F"/>
    <w:rPr>
      <w:rFonts w:ascii="Times New Roman" w:eastAsia="宋体"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9247">
      <w:bodyDiv w:val="1"/>
      <w:marLeft w:val="0"/>
      <w:marRight w:val="0"/>
      <w:marTop w:val="0"/>
      <w:marBottom w:val="0"/>
      <w:divBdr>
        <w:top w:val="none" w:sz="0" w:space="0" w:color="auto"/>
        <w:left w:val="none" w:sz="0" w:space="0" w:color="auto"/>
        <w:bottom w:val="none" w:sz="0" w:space="0" w:color="auto"/>
        <w:right w:val="none" w:sz="0" w:space="0" w:color="auto"/>
      </w:divBdr>
      <w:divsChild>
        <w:div w:id="731271886">
          <w:marLeft w:val="0"/>
          <w:marRight w:val="0"/>
          <w:marTop w:val="0"/>
          <w:marBottom w:val="0"/>
          <w:divBdr>
            <w:top w:val="none" w:sz="0" w:space="0" w:color="auto"/>
            <w:left w:val="none" w:sz="0" w:space="0" w:color="auto"/>
            <w:bottom w:val="none" w:sz="0" w:space="0" w:color="auto"/>
            <w:right w:val="none" w:sz="0" w:space="0" w:color="auto"/>
          </w:divBdr>
          <w:divsChild>
            <w:div w:id="960111736">
              <w:marLeft w:val="0"/>
              <w:marRight w:val="0"/>
              <w:marTop w:val="75"/>
              <w:marBottom w:val="0"/>
              <w:divBdr>
                <w:top w:val="single" w:sz="6" w:space="0" w:color="CCCCCC"/>
                <w:left w:val="single" w:sz="6" w:space="0" w:color="CCCCCC"/>
                <w:bottom w:val="single" w:sz="6" w:space="0" w:color="CCCCCC"/>
                <w:right w:val="single" w:sz="6" w:space="0" w:color="CCCCCC"/>
              </w:divBdr>
              <w:divsChild>
                <w:div w:id="3478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3745</Characters>
  <Application>Microsoft Office Word</Application>
  <DocSecurity>0</DocSecurity>
  <Lines>31</Lines>
  <Paragraphs>8</Paragraphs>
  <ScaleCrop>false</ScaleCrop>
  <Company>2</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2016-09-06T00:02:00Z</dcterms:created>
  <dcterms:modified xsi:type="dcterms:W3CDTF">2016-09-06T00:02:00Z</dcterms:modified>
</cp:coreProperties>
</file>