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360" w:lineRule="exact"/>
        <w:jc w:val="center"/>
        <w:rPr>
          <w:rFonts w:hint="eastAsia" w:ascii="方正小标宋简体" w:hAnsi="新宋体" w:eastAsia="方正小标宋简体"/>
          <w:color w:val="FF0000"/>
          <w:spacing w:val="80"/>
          <w:sz w:val="120"/>
          <w:szCs w:val="120"/>
        </w:rPr>
      </w:pPr>
      <w:bookmarkStart w:id="2" w:name="_GoBack"/>
      <w:bookmarkEnd w:id="2"/>
      <w:r>
        <w:rPr>
          <w:rFonts w:hint="eastAsia" w:ascii="方正小标宋简体" w:hAnsi="新宋体" w:eastAsia="方正小标宋简体"/>
          <w:color w:val="FF0000"/>
          <w:spacing w:val="80"/>
          <w:sz w:val="120"/>
          <w:szCs w:val="120"/>
        </w:rPr>
        <w:t>邵阳学院文件</w:t>
      </w:r>
    </w:p>
    <w:p>
      <w:pPr>
        <w:spacing w:line="560" w:lineRule="exact"/>
        <w:jc w:val="center"/>
        <w:rPr>
          <w:rFonts w:hint="eastAsia" w:ascii="仿宋_GB2312" w:hAnsi="Calibri" w:eastAsia="仿宋_GB2312" w:cs="Times New Roman"/>
          <w:b w:val="0"/>
          <w:bCs w:val="0"/>
          <w:i w:val="0"/>
          <w:iCs w:val="0"/>
          <w:caps w:val="0"/>
          <w:color w:val="000000"/>
          <w:spacing w:val="0"/>
          <w:sz w:val="32"/>
          <w:szCs w:val="32"/>
          <w:shd w:val="clear" w:fill="auto"/>
        </w:rPr>
      </w:pPr>
    </w:p>
    <w:p>
      <w:pPr>
        <w:spacing w:line="560" w:lineRule="exact"/>
        <w:jc w:val="center"/>
        <w:rPr>
          <w:rFonts w:hint="default" w:ascii="仿宋_GB2312" w:hAnsi="Calibri" w:eastAsia="仿宋_GB2312" w:cs="Times New Roman"/>
          <w:color w:val="000000"/>
          <w:sz w:val="32"/>
          <w:szCs w:val="32"/>
        </w:rPr>
      </w:pPr>
      <w:bookmarkStart w:id="0" w:name="发文字号"/>
      <w:r>
        <w:rPr>
          <w:rFonts w:hint="eastAsia" w:ascii="仿宋_GB2312" w:eastAsia="仿宋_GB2312" w:cs="Times New Roman"/>
          <w:b w:val="0"/>
          <w:bCs w:val="0"/>
          <w:i w:val="0"/>
          <w:iCs w:val="0"/>
          <w:caps w:val="0"/>
          <w:color w:val="000000"/>
          <w:spacing w:val="0"/>
          <w:sz w:val="32"/>
          <w:szCs w:val="32"/>
          <w:shd w:val="clear" w:fill="auto"/>
        </w:rPr>
        <w:t>邵院政字〔2024〕72号</w:t>
      </w:r>
      <w:bookmarkEnd w:id="0"/>
    </w:p>
    <w:p>
      <w:pPr>
        <w:spacing w:line="1400" w:lineRule="exact"/>
        <w:jc w:val="center"/>
        <w:rPr>
          <w:rFonts w:hint="eastAsia" w:ascii="方正小标宋简体" w:eastAsia="方正小标宋简体"/>
          <w:sz w:val="44"/>
          <w:szCs w:val="44"/>
        </w:rPr>
      </w:pPr>
      <w:r>
        <w:rPr>
          <w:rFonts w:hint="eastAsia" w:ascii="方正小标宋简体" w:eastAsia="方正小标宋简体"/>
          <w:color w:val="FF0000"/>
          <w:sz w:val="32"/>
          <w:szCs w:val="32"/>
        </w:rPr>
        <mc:AlternateContent>
          <mc:Choice Requires="wps">
            <w:drawing>
              <wp:anchor distT="0" distB="0" distL="114300" distR="114300" simplePos="0" relativeHeight="251660288" behindDoc="0" locked="0" layoutInCell="1" allowOverlap="1">
                <wp:simplePos x="0" y="0"/>
                <wp:positionH relativeFrom="column">
                  <wp:posOffset>53340</wp:posOffset>
                </wp:positionH>
                <wp:positionV relativeFrom="page">
                  <wp:posOffset>3021330</wp:posOffset>
                </wp:positionV>
                <wp:extent cx="5591175" cy="8890"/>
                <wp:effectExtent l="0" t="7620" r="9525" b="21590"/>
                <wp:wrapNone/>
                <wp:docPr id="1" name="直线 2"/>
                <wp:cNvGraphicFramePr/>
                <a:graphic xmlns:a="http://schemas.openxmlformats.org/drawingml/2006/main">
                  <a:graphicData uri="http://schemas.microsoft.com/office/word/2010/wordprocessingShape">
                    <wps:wsp>
                      <wps:cNvCnPr/>
                      <wps:spPr>
                        <a:xfrm flipV="1">
                          <a:off x="0" y="0"/>
                          <a:ext cx="5591175" cy="889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4.2pt;margin-top:237.9pt;height:0.7pt;width:440.25pt;mso-position-vertical-relative:page;z-index:251660288;mso-width-relative:page;mso-height-relative:page;" filled="f" stroked="t" coordsize="21600,21600" o:gfxdata="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uhMx7ZAAAACQEAAA8AAAAAAAAAAQAgAAAAIgAAAGRycy9kb3ducmV2LnhtbFBL&#10;AQIUABQAAAAIAIdO4kBj/KTq9QEAAOkDAAAOAAAAAAAAAAEAIAAAACgBAABkcnMvZTJvRG9jLnht&#10;bFBLBQYAAAAABgAGAFkBAACPBQAAAAA=&#10;">
                <v:fill on="f" focussize="0,0"/>
                <v:stroke weight="3pt" color="#FF0000" joinstyle="round"/>
                <v:imagedata o:title=""/>
                <o:lock v:ext="edit" aspectratio="f"/>
              </v:line>
            </w:pict>
          </mc:Fallback>
        </mc:AlternateContent>
      </w:r>
      <w:bookmarkStart w:id="1" w:name="Content"/>
    </w:p>
    <w:p>
      <w:pPr>
        <w:widowControl/>
        <w:wordWrap w:val="0"/>
        <w:spacing w:beforeAutospacing="1" w:afterAutospacing="1" w:line="500" w:lineRule="exact"/>
        <w:jc w:val="center"/>
        <w:outlineLvl w:val="9"/>
        <w:rPr>
          <w:rFonts w:hint="eastAsia" w:ascii="方正小标宋_GBK" w:hAnsi="方正小标宋_GBK" w:eastAsia="方正小标宋_GBK" w:cs="方正小标宋_GBK"/>
          <w:sz w:val="44"/>
          <w:szCs w:val="44"/>
          <w:lang w:bidi="ar"/>
        </w:rPr>
      </w:pPr>
      <w:r>
        <w:rPr>
          <w:rFonts w:hint="eastAsia" w:ascii="方正小标宋_GBK" w:hAnsi="方正小标宋_GBK" w:eastAsia="方正小标宋_GBK" w:cs="方正小标宋_GBK"/>
          <w:sz w:val="44"/>
          <w:szCs w:val="44"/>
          <w:lang w:bidi="ar"/>
        </w:rPr>
        <w:t>关于印发《邵阳学院关于加强本科教育教学质量保障体系建设的实施意见》的通知</w:t>
      </w:r>
    </w:p>
    <w:p>
      <w:pPr>
        <w:spacing w:line="560" w:lineRule="atLeast"/>
        <w:jc w:val="left"/>
        <w:outlineLvl w:val="0"/>
        <w:rPr>
          <w:rFonts w:hint="eastAsia" w:ascii="仿宋_GB2312" w:hAnsi="仿宋" w:eastAsia="仿宋_GB2312" w:cs="黑体"/>
          <w:sz w:val="32"/>
          <w:szCs w:val="32"/>
          <w:lang w:bidi="ar"/>
        </w:rPr>
      </w:pPr>
    </w:p>
    <w:p>
      <w:pPr>
        <w:spacing w:line="560" w:lineRule="atLeast"/>
        <w:jc w:val="left"/>
        <w:outlineLvl w:val="0"/>
        <w:rPr>
          <w:rFonts w:hint="eastAsia" w:ascii="仿宋_GB2312" w:hAnsi="仿宋" w:eastAsia="仿宋_GB2312" w:cs="黑体"/>
          <w:sz w:val="32"/>
          <w:szCs w:val="32"/>
          <w:lang w:bidi="ar"/>
        </w:rPr>
      </w:pPr>
      <w:r>
        <w:rPr>
          <w:rFonts w:hint="eastAsia" w:ascii="仿宋_GB2312" w:hAnsi="仿宋" w:eastAsia="仿宋_GB2312" w:cs="黑体"/>
          <w:sz w:val="32"/>
          <w:szCs w:val="32"/>
          <w:lang w:bidi="ar"/>
        </w:rPr>
        <w:t>校属各部门、单位：</w:t>
      </w:r>
    </w:p>
    <w:p>
      <w:pPr>
        <w:keepNext w:val="0"/>
        <w:keepLines w:val="0"/>
        <w:pageBreakBefore w:val="0"/>
        <w:wordWrap/>
        <w:overflowPunct/>
        <w:topLinePunct w:val="0"/>
        <w:bidi w:val="0"/>
        <w:spacing w:line="560" w:lineRule="exact"/>
        <w:ind w:firstLine="640" w:firstLineChars="200"/>
        <w:jc w:val="left"/>
        <w:rPr>
          <w:rFonts w:hint="eastAsia" w:ascii="仿宋" w:hAnsi="仿宋" w:eastAsia="仿宋"/>
          <w:color w:val="000000"/>
          <w:kern w:val="0"/>
          <w:sz w:val="32"/>
          <w:szCs w:val="32"/>
        </w:rPr>
      </w:pPr>
      <w:r>
        <w:rPr>
          <w:rFonts w:hint="eastAsia" w:ascii="仿宋_GB2312" w:hAnsi="仿宋" w:eastAsia="仿宋_GB2312" w:cs="黑体"/>
          <w:kern w:val="0"/>
          <w:sz w:val="32"/>
          <w:szCs w:val="32"/>
          <w:lang w:bidi="ar"/>
        </w:rPr>
        <w:t>《邵阳学院关于加强本科教育教学质量保障体系建设的实施意见》</w:t>
      </w:r>
      <w:r>
        <w:rPr>
          <w:rFonts w:hint="eastAsia" w:ascii="仿宋" w:hAnsi="仿宋" w:eastAsia="仿宋" w:cs="SimSun"/>
          <w:color w:val="000000"/>
          <w:sz w:val="32"/>
          <w:szCs w:val="32"/>
        </w:rPr>
        <w:t>已经</w:t>
      </w:r>
      <w:r>
        <w:rPr>
          <w:rFonts w:hint="eastAsia" w:ascii="仿宋" w:hAnsi="仿宋" w:eastAsia="仿宋" w:cs="SimSun"/>
          <w:color w:val="000000"/>
          <w:sz w:val="32"/>
          <w:szCs w:val="32"/>
          <w:lang w:eastAsia="zh-CN"/>
        </w:rPr>
        <w:t>校长办公</w:t>
      </w:r>
      <w:r>
        <w:rPr>
          <w:rFonts w:hint="eastAsia" w:ascii="仿宋" w:hAnsi="仿宋" w:eastAsia="仿宋" w:cs="SimSun"/>
          <w:color w:val="000000"/>
          <w:sz w:val="32"/>
          <w:szCs w:val="32"/>
        </w:rPr>
        <w:t>会研究</w:t>
      </w:r>
      <w:r>
        <w:rPr>
          <w:rFonts w:hint="eastAsia" w:ascii="仿宋" w:hAnsi="仿宋" w:eastAsia="仿宋" w:cs="___WRD_EMBED_SUB_41"/>
          <w:color w:val="000000"/>
          <w:sz w:val="32"/>
          <w:szCs w:val="32"/>
        </w:rPr>
        <w:t>通</w:t>
      </w:r>
      <w:r>
        <w:rPr>
          <w:rFonts w:hint="eastAsia" w:ascii="仿宋" w:hAnsi="仿宋" w:eastAsia="仿宋" w:cs="SimSun"/>
          <w:color w:val="000000"/>
          <w:sz w:val="32"/>
          <w:szCs w:val="32"/>
        </w:rPr>
        <w:t>过</w:t>
      </w:r>
      <w:r>
        <w:rPr>
          <w:rFonts w:hint="eastAsia" w:ascii="仿宋" w:hAnsi="仿宋" w:eastAsia="仿宋" w:cs="___WRD_EMBED_SUB_41"/>
          <w:color w:val="000000"/>
          <w:sz w:val="32"/>
          <w:szCs w:val="32"/>
        </w:rPr>
        <w:t>，</w:t>
      </w:r>
      <w:r>
        <w:rPr>
          <w:rFonts w:hint="eastAsia" w:ascii="仿宋" w:hAnsi="仿宋" w:eastAsia="仿宋" w:cs="SimSun"/>
          <w:color w:val="000000"/>
          <w:sz w:val="32"/>
          <w:szCs w:val="32"/>
        </w:rPr>
        <w:t>现印</w:t>
      </w:r>
      <w:r>
        <w:rPr>
          <w:rFonts w:hint="eastAsia" w:ascii="仿宋" w:hAnsi="仿宋" w:eastAsia="仿宋" w:cs="___WRD_EMBED_SUB_41"/>
          <w:color w:val="000000"/>
          <w:sz w:val="32"/>
          <w:szCs w:val="32"/>
        </w:rPr>
        <w:t>发给</w:t>
      </w:r>
      <w:r>
        <w:rPr>
          <w:rFonts w:hint="eastAsia" w:ascii="仿宋" w:hAnsi="仿宋" w:eastAsia="仿宋" w:cs="SimSun"/>
          <w:color w:val="000000"/>
          <w:sz w:val="32"/>
          <w:szCs w:val="32"/>
        </w:rPr>
        <w:t>你们</w:t>
      </w:r>
      <w:r>
        <w:rPr>
          <w:rFonts w:hint="eastAsia" w:ascii="仿宋" w:hAnsi="仿宋" w:eastAsia="仿宋" w:cs="___WRD_EMBED_SUB_41"/>
          <w:color w:val="000000"/>
          <w:sz w:val="32"/>
          <w:szCs w:val="32"/>
        </w:rPr>
        <w:t>，</w:t>
      </w:r>
      <w:r>
        <w:rPr>
          <w:rFonts w:hint="eastAsia" w:ascii="仿宋" w:hAnsi="仿宋" w:eastAsia="仿宋" w:cs="SimSun"/>
          <w:color w:val="000000"/>
          <w:sz w:val="32"/>
          <w:szCs w:val="32"/>
        </w:rPr>
        <w:t>请遵照执行。</w:t>
      </w:r>
      <w:r>
        <w:rPr>
          <w:rFonts w:hint="eastAsia" w:ascii="仿宋" w:hAnsi="仿宋" w:eastAsia="仿宋"/>
          <w:color w:val="000000"/>
          <w:kern w:val="0"/>
          <w:sz w:val="32"/>
          <w:szCs w:val="32"/>
        </w:rPr>
        <w:t xml:space="preserve"> </w:t>
      </w:r>
    </w:p>
    <w:p>
      <w:pPr>
        <w:widowControl/>
        <w:kinsoku w:val="0"/>
        <w:autoSpaceDE w:val="0"/>
        <w:autoSpaceDN w:val="0"/>
        <w:adjustRightInd w:val="0"/>
        <w:snapToGrid w:val="0"/>
        <w:spacing w:line="560" w:lineRule="exact"/>
        <w:ind w:firstLine="870"/>
        <w:jc w:val="left"/>
        <w:textAlignment w:val="baseline"/>
        <w:outlineLvl w:val="0"/>
        <w:rPr>
          <w:rFonts w:hint="eastAsia" w:ascii="仿宋_GB2312" w:hAnsi="仿宋" w:eastAsia="仿宋_GB2312" w:cs="黑体"/>
          <w:sz w:val="32"/>
          <w:szCs w:val="32"/>
        </w:rPr>
      </w:pPr>
      <w:r>
        <w:rPr>
          <w:rFonts w:hint="eastAsia" w:ascii="仿宋_GB2312" w:eastAsia="仿宋_GB2312"/>
          <w:color w:val="000000"/>
          <w:kern w:val="0"/>
          <w:sz w:val="32"/>
          <w:szCs w:val="32"/>
        </w:rPr>
        <w:t xml:space="preserve"> </w:t>
      </w:r>
    </w:p>
    <w:p>
      <w:pPr>
        <w:spacing w:line="560" w:lineRule="exact"/>
        <w:ind w:firstLine="870"/>
        <w:jc w:val="left"/>
        <w:outlineLvl w:val="0"/>
        <w:rPr>
          <w:rFonts w:hint="eastAsia" w:ascii="仿宋_GB2312" w:hAnsi="仿宋" w:eastAsia="仿宋_GB2312" w:cs="黑体"/>
          <w:sz w:val="32"/>
          <w:szCs w:val="32"/>
        </w:rPr>
      </w:pPr>
      <w:r>
        <w:rPr>
          <w:rFonts w:hint="eastAsia" w:ascii="仿宋_GB2312" w:hAnsi="仿宋" w:eastAsia="仿宋_GB2312" w:cs="黑体"/>
          <w:sz w:val="32"/>
          <w:szCs w:val="32"/>
          <w:lang w:bidi="ar"/>
        </w:rPr>
        <w:t xml:space="preserve"> </w:t>
      </w:r>
    </w:p>
    <w:p>
      <w:pPr>
        <w:spacing w:line="560" w:lineRule="exact"/>
        <w:ind w:firstLine="870"/>
        <w:jc w:val="left"/>
        <w:outlineLvl w:val="0"/>
        <w:rPr>
          <w:rFonts w:hint="eastAsia" w:ascii="仿宋_GB2312" w:hAnsi="仿宋" w:eastAsia="仿宋_GB2312" w:cs="黑体"/>
          <w:sz w:val="32"/>
          <w:szCs w:val="32"/>
        </w:rPr>
      </w:pPr>
      <w:r>
        <w:rPr>
          <w:rFonts w:hint="eastAsia" w:ascii="仿宋_GB2312" w:hAnsi="仿宋" w:eastAsia="仿宋_GB2312" w:cs="黑体"/>
          <w:sz w:val="32"/>
          <w:szCs w:val="32"/>
          <w:lang w:bidi="ar"/>
        </w:rPr>
        <w:t xml:space="preserve"> </w:t>
      </w:r>
    </w:p>
    <w:p>
      <w:pPr>
        <w:jc w:val="center"/>
        <w:rPr>
          <w:rFonts w:hint="eastAsia" w:ascii="仿宋_GB2312" w:hAnsi="仿宋" w:eastAsia="仿宋_GB2312" w:cs="黑体"/>
          <w:sz w:val="32"/>
          <w:szCs w:val="32"/>
          <w:lang w:bidi="ar"/>
        </w:rPr>
      </w:pPr>
      <w:r>
        <w:rPr>
          <w:rFonts w:hint="eastAsia" w:ascii="仿宋_GB2312" w:hAnsi="仿宋" w:eastAsia="仿宋_GB2312" w:cs="黑体"/>
          <w:sz w:val="32"/>
          <w:szCs w:val="32"/>
          <w:lang w:bidi="ar"/>
        </w:rPr>
        <w:t xml:space="preserve">                                </w:t>
      </w:r>
      <w:r>
        <w:rPr>
          <w:rFonts w:hint="eastAsia" w:ascii="仿宋_GB2312" w:hAnsi="仿宋" w:eastAsia="仿宋_GB2312" w:cs="黑体"/>
          <w:sz w:val="32"/>
          <w:szCs w:val="32"/>
          <w:lang w:val="en-US" w:eastAsia="zh-CN" w:bidi="ar"/>
        </w:rPr>
        <w:t xml:space="preserve"> </w:t>
      </w:r>
      <w:r>
        <w:rPr>
          <w:rFonts w:hint="eastAsia" w:ascii="仿宋_GB2312" w:hAnsi="仿宋" w:eastAsia="仿宋_GB2312" w:cs="黑体"/>
          <w:sz w:val="32"/>
          <w:szCs w:val="32"/>
          <w:lang w:bidi="ar"/>
        </w:rPr>
        <w:t>邵阳学院</w:t>
      </w:r>
    </w:p>
    <w:p>
      <w:pPr>
        <w:autoSpaceDE w:val="0"/>
        <w:autoSpaceDN w:val="0"/>
        <w:adjustRightInd w:val="0"/>
        <w:spacing w:line="560" w:lineRule="exact"/>
        <w:jc w:val="center"/>
        <w:rPr>
          <w:rFonts w:hint="eastAsia" w:ascii="方正小标宋简体" w:hAnsi="SimSun" w:eastAsia="方正小标宋简体" w:cs="SimSun"/>
          <w:bCs/>
          <w:color w:val="000000"/>
          <w:kern w:val="0"/>
          <w:sz w:val="44"/>
          <w:szCs w:val="44"/>
        </w:rPr>
      </w:pPr>
      <w:r>
        <w:rPr>
          <w:rFonts w:hint="eastAsia" w:ascii="仿宋_GB2312" w:hAnsi="仿宋" w:eastAsia="仿宋_GB2312" w:cs="黑体"/>
          <w:sz w:val="32"/>
          <w:szCs w:val="32"/>
          <w:lang w:bidi="ar"/>
        </w:rPr>
        <w:t xml:space="preserve">                                   202</w:t>
      </w:r>
      <w:r>
        <w:rPr>
          <w:rFonts w:hint="eastAsia" w:ascii="仿宋_GB2312" w:hAnsi="仿宋" w:eastAsia="仿宋_GB2312" w:cs="黑体"/>
          <w:sz w:val="32"/>
          <w:szCs w:val="32"/>
          <w:lang w:val="en-US" w:eastAsia="zh-CN" w:bidi="ar"/>
        </w:rPr>
        <w:t>4</w:t>
      </w:r>
      <w:r>
        <w:rPr>
          <w:rFonts w:hint="eastAsia" w:ascii="仿宋_GB2312" w:hAnsi="仿宋" w:eastAsia="仿宋_GB2312" w:cs="黑体"/>
          <w:sz w:val="32"/>
          <w:szCs w:val="32"/>
          <w:lang w:bidi="ar"/>
        </w:rPr>
        <w:t>年</w:t>
      </w:r>
      <w:r>
        <w:rPr>
          <w:rFonts w:hint="eastAsia" w:ascii="仿宋_GB2312" w:hAnsi="仿宋" w:eastAsia="仿宋_GB2312" w:cs="黑体"/>
          <w:sz w:val="32"/>
          <w:szCs w:val="32"/>
          <w:lang w:val="en-US" w:eastAsia="zh-CN" w:bidi="ar"/>
        </w:rPr>
        <w:t>10</w:t>
      </w:r>
      <w:r>
        <w:rPr>
          <w:rFonts w:hint="eastAsia" w:ascii="仿宋_GB2312" w:hAnsi="仿宋" w:eastAsia="仿宋_GB2312" w:cs="黑体"/>
          <w:sz w:val="32"/>
          <w:szCs w:val="32"/>
          <w:lang w:bidi="ar"/>
        </w:rPr>
        <w:t>月</w:t>
      </w:r>
      <w:r>
        <w:rPr>
          <w:rFonts w:hint="eastAsia" w:ascii="仿宋_GB2312" w:hAnsi="仿宋" w:eastAsia="仿宋_GB2312" w:cs="黑体"/>
          <w:sz w:val="32"/>
          <w:szCs w:val="32"/>
          <w:lang w:val="en-US" w:eastAsia="zh-CN" w:bidi="ar"/>
        </w:rPr>
        <w:t>8</w:t>
      </w:r>
      <w:r>
        <w:rPr>
          <w:rFonts w:hint="eastAsia" w:ascii="仿宋_GB2312" w:hAnsi="仿宋" w:eastAsia="仿宋_GB2312" w:cs="黑体"/>
          <w:sz w:val="32"/>
          <w:szCs w:val="32"/>
          <w:lang w:bidi="ar"/>
        </w:rPr>
        <w:t>日</w:t>
      </w:r>
    </w:p>
    <w:p>
      <w:pPr>
        <w:pStyle w:val="11"/>
        <w:shd w:val="clear" w:color="auto" w:fill="FFFFFF"/>
        <w:spacing w:before="0" w:beforeAutospacing="0" w:after="0" w:afterAutospacing="0" w:line="560" w:lineRule="exact"/>
        <w:jc w:val="center"/>
        <w:rPr>
          <w:rFonts w:hint="eastAsia" w:ascii="方正小标宋_GBK" w:hAnsi="黑体" w:eastAsia="方正小标宋_GBK"/>
          <w:color w:val="auto"/>
          <w:sz w:val="44"/>
          <w:szCs w:val="44"/>
        </w:rPr>
      </w:pPr>
      <w:r>
        <w:rPr>
          <w:rFonts w:hint="eastAsia" w:ascii="方正小标宋_GBK" w:hAnsi="SimSun" w:eastAsia="方正小标宋_GBK"/>
          <w:color w:val="auto"/>
          <w:sz w:val="44"/>
          <w:szCs w:val="44"/>
        </w:rPr>
        <w:br w:type="page"/>
      </w:r>
      <w:r>
        <w:rPr>
          <w:rFonts w:hint="eastAsia" w:ascii="方正小标宋_GBK" w:hAnsi="黑体" w:eastAsia="方正小标宋_GBK"/>
          <w:color w:val="auto"/>
          <w:sz w:val="44"/>
          <w:szCs w:val="44"/>
        </w:rPr>
        <w:t>邵阳学院关于加强本科教育教学质量保障体系建设的实施意见</w:t>
      </w:r>
    </w:p>
    <w:p>
      <w:pPr>
        <w:pStyle w:val="11"/>
        <w:shd w:val="clear" w:color="auto" w:fill="FFFFFF"/>
        <w:spacing w:before="0" w:beforeAutospacing="0" w:after="0" w:afterAutospacing="0" w:line="520" w:lineRule="exact"/>
        <w:ind w:firstLine="640" w:firstLineChars="200"/>
        <w:rPr>
          <w:rFonts w:hint="eastAsia" w:ascii="仿宋_GB2312" w:hAnsi="华文仿宋" w:eastAsia="仿宋_GB2312"/>
          <w:color w:val="auto"/>
          <w:sz w:val="32"/>
          <w:szCs w:val="32"/>
        </w:rPr>
      </w:pPr>
    </w:p>
    <w:p>
      <w:pPr>
        <w:pStyle w:val="11"/>
        <w:shd w:val="clear" w:color="auto" w:fill="FFFFFF"/>
        <w:spacing w:before="0" w:beforeAutospacing="0" w:after="0" w:afterAutospacing="0" w:line="560" w:lineRule="exact"/>
        <w:ind w:firstLine="640" w:firstLineChars="200"/>
        <w:jc w:val="both"/>
        <w:rPr>
          <w:rFonts w:hint="eastAsia" w:ascii="仿宋_GB2312" w:hAnsi="华文仿宋" w:eastAsia="仿宋_GB2312"/>
          <w:color w:val="auto"/>
          <w:sz w:val="32"/>
          <w:szCs w:val="32"/>
        </w:rPr>
      </w:pPr>
      <w:r>
        <w:rPr>
          <w:rFonts w:hint="eastAsia" w:ascii="仿宋_GB2312" w:hAnsi="华文仿宋" w:eastAsia="仿宋_GB2312"/>
          <w:color w:val="auto"/>
          <w:sz w:val="32"/>
          <w:szCs w:val="32"/>
        </w:rPr>
        <w:t>为贯彻落实</w:t>
      </w:r>
      <w:r>
        <w:rPr>
          <w:rFonts w:hint="eastAsia" w:ascii="仿宋_GB2312" w:hAnsi="仿宋_GB2312" w:eastAsia="仿宋_GB2312"/>
          <w:color w:val="auto"/>
          <w:sz w:val="32"/>
          <w:szCs w:val="32"/>
          <w:lang w:bidi="ar"/>
        </w:rPr>
        <w:t>《深化新时代教育评价改革总体方案》</w:t>
      </w:r>
      <w:r>
        <w:rPr>
          <w:rFonts w:hint="eastAsia" w:ascii="Times New Roman" w:hAnsi="Times New Roman" w:eastAsia="仿宋_GB2312"/>
          <w:color w:val="auto"/>
          <w:sz w:val="32"/>
          <w:szCs w:val="32"/>
        </w:rPr>
        <w:t>（中发〔2020〕19号）</w:t>
      </w:r>
      <w:r>
        <w:rPr>
          <w:rFonts w:ascii="Times New Roman" w:hAnsi="Times New Roman" w:eastAsia="仿宋_GB2312"/>
          <w:color w:val="auto"/>
          <w:kern w:val="2"/>
          <w:sz w:val="32"/>
          <w:szCs w:val="32"/>
        </w:rPr>
        <w:t>《普通高等学校本科教育教学审核评估实施方案（2021</w:t>
      </w:r>
      <w:r>
        <w:rPr>
          <w:rFonts w:hint="eastAsia" w:ascii="Times New Roman" w:hAnsi="Times New Roman" w:eastAsia="仿宋_GB2312"/>
          <w:color w:val="auto"/>
          <w:kern w:val="2"/>
          <w:sz w:val="32"/>
          <w:szCs w:val="32"/>
        </w:rPr>
        <w:t>-</w:t>
      </w:r>
      <w:r>
        <w:rPr>
          <w:rFonts w:ascii="Times New Roman" w:hAnsi="Times New Roman" w:eastAsia="仿宋_GB2312"/>
          <w:color w:val="auto"/>
          <w:kern w:val="2"/>
          <w:sz w:val="32"/>
          <w:szCs w:val="32"/>
        </w:rPr>
        <w:t>2025年）》（教督〔2021〕1号）《高等学校课程思政建设指导纲要》（教高〔2020〕3号）</w:t>
      </w:r>
      <w:r>
        <w:rPr>
          <w:rFonts w:hint="eastAsia" w:ascii="仿宋_GB2312" w:hAnsi="华文仿宋" w:eastAsia="仿宋_GB2312"/>
          <w:color w:val="auto"/>
          <w:sz w:val="32"/>
          <w:szCs w:val="32"/>
        </w:rPr>
        <w:t>《教育部关于深化本科教育教学改革全面提高人才培养质量的意见》（教高〔2019〕6号）等文件精神，深化本科人才培养改革，提高学校人才培养能力和人才培养质量</w:t>
      </w:r>
      <w:r>
        <w:rPr>
          <w:rFonts w:hint="eastAsia" w:ascii="仿宋_GB2312" w:hAnsi="华文仿宋" w:eastAsia="仿宋_GB2312"/>
          <w:color w:val="auto"/>
          <w:sz w:val="32"/>
          <w:szCs w:val="32"/>
          <w:lang w:val="en-US" w:eastAsia="zh-CN"/>
        </w:rPr>
        <w:t>，现就加强本科教育教学质量保障体系建设提出以下实施意见。</w:t>
      </w:r>
    </w:p>
    <w:p>
      <w:pPr>
        <w:widowControl/>
        <w:spacing w:line="560" w:lineRule="exact"/>
        <w:jc w:val="center"/>
        <w:rPr>
          <w:rFonts w:hint="eastAsia" w:ascii="黑体" w:hAnsi="黑体" w:eastAsia="黑体"/>
          <w:color w:val="auto"/>
          <w:kern w:val="0"/>
          <w:sz w:val="32"/>
          <w:szCs w:val="32"/>
        </w:rPr>
      </w:pPr>
      <w:r>
        <w:rPr>
          <w:rFonts w:hint="eastAsia" w:ascii="黑体" w:hAnsi="黑体" w:eastAsia="黑体"/>
          <w:color w:val="auto"/>
          <w:kern w:val="0"/>
          <w:sz w:val="32"/>
          <w:szCs w:val="32"/>
        </w:rPr>
        <w:t xml:space="preserve">第一章  </w:t>
      </w:r>
      <w:r>
        <w:rPr>
          <w:rFonts w:hint="eastAsia" w:ascii="黑体" w:hAnsi="黑体" w:eastAsia="黑体"/>
          <w:color w:val="auto"/>
          <w:sz w:val="32"/>
          <w:szCs w:val="32"/>
        </w:rPr>
        <w:t xml:space="preserve">指导思想 </w:t>
      </w:r>
    </w:p>
    <w:p>
      <w:pPr>
        <w:pStyle w:val="11"/>
        <w:shd w:val="clear" w:color="auto" w:fill="FFFFFF"/>
        <w:spacing w:before="0" w:beforeAutospacing="0" w:after="0" w:afterAutospacing="0" w:line="560" w:lineRule="exact"/>
        <w:ind w:firstLine="621" w:firstLineChars="200"/>
        <w:jc w:val="both"/>
        <w:rPr>
          <w:rFonts w:hint="eastAsia" w:ascii="仿宋" w:hAnsi="仿宋" w:eastAsia="仿宋"/>
          <w:b/>
          <w:bCs/>
          <w:color w:val="auto"/>
          <w:sz w:val="31"/>
          <w:szCs w:val="31"/>
        </w:rPr>
      </w:pPr>
      <w:r>
        <w:rPr>
          <w:rFonts w:hint="eastAsia" w:ascii="仿宋" w:hAnsi="仿宋" w:eastAsia="仿宋"/>
          <w:b/>
          <w:bCs/>
          <w:color w:val="auto"/>
          <w:sz w:val="31"/>
          <w:szCs w:val="31"/>
        </w:rPr>
        <w:t>第一条</w:t>
      </w:r>
      <w:r>
        <w:rPr>
          <w:rFonts w:hint="eastAsia" w:ascii="仿宋_GB2312" w:eastAsia="仿宋_GB2312"/>
          <w:color w:val="auto"/>
          <w:sz w:val="32"/>
          <w:szCs w:val="32"/>
        </w:rPr>
        <w:t xml:space="preserve"> </w:t>
      </w:r>
      <w:r>
        <w:rPr>
          <w:rFonts w:hint="eastAsia" w:ascii="仿宋_GB2312" w:hAnsi="华文仿宋" w:eastAsia="仿宋_GB2312"/>
          <w:color w:val="auto"/>
          <w:sz w:val="32"/>
          <w:szCs w:val="32"/>
        </w:rPr>
        <w:t>坚持立德树人。以习近平新时代中国特色社会主义思想为指导，全面贯彻党的教育方针，落实立德树人根本任务，坚持“以本为本”，践行“四个回归”，构建“三全育人”工作格局。</w:t>
      </w:r>
    </w:p>
    <w:p>
      <w:pPr>
        <w:pStyle w:val="11"/>
        <w:shd w:val="clear" w:color="auto" w:fill="FFFFFF"/>
        <w:spacing w:before="0" w:beforeAutospacing="0" w:after="0" w:afterAutospacing="0" w:line="560" w:lineRule="exact"/>
        <w:ind w:firstLine="621" w:firstLineChars="200"/>
        <w:jc w:val="both"/>
        <w:rPr>
          <w:rFonts w:hint="eastAsia" w:ascii="仿宋" w:hAnsi="仿宋" w:eastAsia="仿宋"/>
          <w:b/>
          <w:bCs/>
          <w:color w:val="auto"/>
          <w:sz w:val="31"/>
          <w:szCs w:val="31"/>
        </w:rPr>
      </w:pPr>
      <w:r>
        <w:rPr>
          <w:rFonts w:hint="eastAsia" w:ascii="仿宋" w:hAnsi="仿宋" w:eastAsia="仿宋"/>
          <w:b/>
          <w:bCs/>
          <w:color w:val="auto"/>
          <w:sz w:val="31"/>
          <w:szCs w:val="31"/>
        </w:rPr>
        <w:t>第二条</w:t>
      </w:r>
      <w:r>
        <w:rPr>
          <w:rFonts w:hint="eastAsia" w:ascii="仿宋_GB2312" w:eastAsia="仿宋_GB2312"/>
          <w:color w:val="auto"/>
          <w:sz w:val="32"/>
          <w:szCs w:val="32"/>
        </w:rPr>
        <w:t xml:space="preserve"> </w:t>
      </w:r>
      <w:r>
        <w:rPr>
          <w:rFonts w:hint="eastAsia" w:ascii="仿宋_GB2312" w:hAnsi="华文仿宋" w:eastAsia="仿宋_GB2312"/>
          <w:color w:val="auto"/>
          <w:sz w:val="32"/>
          <w:szCs w:val="32"/>
        </w:rPr>
        <w:t>坚持学生中心。在日常教育教学和点滴工作中关爱学生，牵挂学生，服务学生，把学生对成长成才的追求作为学校的奋斗目标。</w:t>
      </w:r>
    </w:p>
    <w:p>
      <w:pPr>
        <w:pStyle w:val="11"/>
        <w:shd w:val="clear" w:color="auto" w:fill="FFFFFF"/>
        <w:spacing w:before="0" w:beforeAutospacing="0" w:after="0" w:afterAutospacing="0" w:line="560" w:lineRule="exact"/>
        <w:ind w:firstLine="621" w:firstLineChars="200"/>
        <w:jc w:val="both"/>
        <w:rPr>
          <w:rFonts w:hint="eastAsia" w:ascii="仿宋" w:hAnsi="仿宋" w:eastAsia="仿宋"/>
          <w:b/>
          <w:bCs/>
          <w:color w:val="auto"/>
          <w:sz w:val="31"/>
          <w:szCs w:val="31"/>
        </w:rPr>
      </w:pPr>
      <w:r>
        <w:rPr>
          <w:rFonts w:hint="eastAsia" w:ascii="仿宋" w:hAnsi="仿宋" w:eastAsia="仿宋"/>
          <w:b/>
          <w:bCs/>
          <w:color w:val="auto"/>
          <w:sz w:val="31"/>
          <w:szCs w:val="31"/>
        </w:rPr>
        <w:t>第三条</w:t>
      </w:r>
      <w:r>
        <w:rPr>
          <w:rFonts w:hint="eastAsia" w:ascii="仿宋_GB2312" w:eastAsia="仿宋_GB2312"/>
          <w:color w:val="auto"/>
          <w:sz w:val="32"/>
          <w:szCs w:val="32"/>
        </w:rPr>
        <w:t xml:space="preserve"> </w:t>
      </w:r>
      <w:r>
        <w:rPr>
          <w:rFonts w:hint="eastAsia" w:ascii="仿宋_GB2312" w:hAnsi="华文仿宋" w:eastAsia="仿宋_GB2312"/>
          <w:color w:val="auto"/>
          <w:sz w:val="32"/>
          <w:szCs w:val="32"/>
        </w:rPr>
        <w:t>坚持产出导向。围绕学校人才培养总体目标，主动适应新时期国家和地方经济社会发展的新要求，按照“反向设计、正向实施”的要求重塑人才培养流程，以培养目标达成为导向重构人才培养体系。</w:t>
      </w:r>
    </w:p>
    <w:p>
      <w:pPr>
        <w:pStyle w:val="11"/>
        <w:shd w:val="clear" w:color="auto" w:fill="FFFFFF"/>
        <w:spacing w:before="0" w:beforeAutospacing="0" w:after="0" w:afterAutospacing="0" w:line="560" w:lineRule="exact"/>
        <w:ind w:firstLine="621" w:firstLineChars="200"/>
        <w:jc w:val="both"/>
        <w:rPr>
          <w:rFonts w:hint="eastAsia" w:ascii="仿宋" w:hAnsi="仿宋" w:eastAsia="仿宋"/>
          <w:b/>
          <w:bCs/>
          <w:color w:val="auto"/>
          <w:sz w:val="31"/>
          <w:szCs w:val="31"/>
        </w:rPr>
      </w:pPr>
      <w:r>
        <w:rPr>
          <w:rFonts w:hint="eastAsia" w:ascii="仿宋" w:hAnsi="仿宋" w:eastAsia="仿宋"/>
          <w:b/>
          <w:bCs/>
          <w:color w:val="auto"/>
          <w:sz w:val="31"/>
          <w:szCs w:val="31"/>
        </w:rPr>
        <w:t>第四条</w:t>
      </w:r>
      <w:r>
        <w:rPr>
          <w:rFonts w:hint="eastAsia" w:ascii="仿宋_GB2312" w:eastAsia="仿宋_GB2312"/>
          <w:color w:val="auto"/>
          <w:sz w:val="32"/>
          <w:szCs w:val="32"/>
        </w:rPr>
        <w:t xml:space="preserve"> </w:t>
      </w:r>
      <w:r>
        <w:rPr>
          <w:rFonts w:hint="eastAsia" w:ascii="仿宋_GB2312" w:hAnsi="华文仿宋" w:eastAsia="仿宋_GB2312"/>
          <w:color w:val="auto"/>
          <w:sz w:val="32"/>
          <w:szCs w:val="32"/>
        </w:rPr>
        <w:t>坚持协同联动。坚持本科教育教学质量保障的全程性、全员性、全方位性，建立学校党委行政统一领导，部门、学院分工负责，全员协同参与，形成全校统筹联动的质量保障长效机制。</w:t>
      </w:r>
    </w:p>
    <w:p>
      <w:pPr>
        <w:pStyle w:val="11"/>
        <w:shd w:val="clear" w:color="auto" w:fill="FFFFFF"/>
        <w:spacing w:before="0" w:beforeAutospacing="0" w:after="0" w:afterAutospacing="0" w:line="560" w:lineRule="exact"/>
        <w:ind w:firstLine="621" w:firstLineChars="200"/>
        <w:jc w:val="both"/>
        <w:rPr>
          <w:rFonts w:hint="eastAsia" w:ascii="仿宋" w:hAnsi="仿宋" w:eastAsia="仿宋"/>
          <w:b/>
          <w:bCs/>
          <w:color w:val="auto"/>
          <w:sz w:val="31"/>
          <w:szCs w:val="31"/>
        </w:rPr>
      </w:pPr>
      <w:r>
        <w:rPr>
          <w:rFonts w:hint="eastAsia" w:ascii="仿宋" w:hAnsi="仿宋" w:eastAsia="仿宋"/>
          <w:b/>
          <w:bCs/>
          <w:color w:val="auto"/>
          <w:sz w:val="31"/>
          <w:szCs w:val="31"/>
        </w:rPr>
        <w:t>第五条</w:t>
      </w:r>
      <w:r>
        <w:rPr>
          <w:rFonts w:hint="eastAsia" w:ascii="仿宋_GB2312" w:eastAsia="仿宋_GB2312"/>
          <w:color w:val="auto"/>
          <w:sz w:val="32"/>
          <w:szCs w:val="32"/>
        </w:rPr>
        <w:t xml:space="preserve"> </w:t>
      </w:r>
      <w:r>
        <w:rPr>
          <w:rFonts w:hint="eastAsia" w:ascii="仿宋_GB2312" w:hAnsi="华文仿宋" w:eastAsia="仿宋_GB2312"/>
          <w:color w:val="auto"/>
          <w:sz w:val="32"/>
          <w:szCs w:val="32"/>
        </w:rPr>
        <w:t>坚持持续改进。以常态化的教育教学质量监测、调查、评价、评估为基础，坚持问题导向，推动整改落实，强化结果运用和督导复查，建立持续改进长效机制，实现人才培养质量全周期闭环管理。</w:t>
      </w:r>
    </w:p>
    <w:p>
      <w:pPr>
        <w:pStyle w:val="11"/>
        <w:shd w:val="clear" w:color="auto" w:fill="FFFFFF"/>
        <w:spacing w:before="0" w:beforeAutospacing="0" w:after="0" w:afterAutospacing="0" w:line="560" w:lineRule="exact"/>
        <w:jc w:val="center"/>
        <w:rPr>
          <w:rFonts w:hint="eastAsia" w:ascii="黑体" w:hAnsi="黑体" w:eastAsia="黑体"/>
          <w:color w:val="auto"/>
          <w:sz w:val="32"/>
          <w:szCs w:val="32"/>
        </w:rPr>
      </w:pPr>
      <w:r>
        <w:rPr>
          <w:rFonts w:hint="eastAsia" w:ascii="黑体" w:hAnsi="黑体" w:eastAsia="黑体"/>
          <w:color w:val="auto"/>
          <w:sz w:val="32"/>
          <w:szCs w:val="32"/>
        </w:rPr>
        <w:t>第二章  培育质量文化</w:t>
      </w:r>
    </w:p>
    <w:p>
      <w:pPr>
        <w:pStyle w:val="11"/>
        <w:shd w:val="clear" w:color="auto" w:fill="FFFFFF"/>
        <w:spacing w:before="0" w:beforeAutospacing="0" w:after="0" w:afterAutospacing="0" w:line="560" w:lineRule="exact"/>
        <w:ind w:firstLine="621" w:firstLineChars="200"/>
        <w:jc w:val="both"/>
        <w:rPr>
          <w:rFonts w:hint="eastAsia" w:ascii="仿宋" w:hAnsi="仿宋" w:eastAsia="仿宋"/>
          <w:b/>
          <w:bCs/>
          <w:color w:val="auto"/>
          <w:sz w:val="31"/>
          <w:szCs w:val="31"/>
        </w:rPr>
      </w:pPr>
      <w:r>
        <w:rPr>
          <w:rFonts w:hint="eastAsia" w:ascii="仿宋" w:hAnsi="仿宋" w:eastAsia="仿宋"/>
          <w:b/>
          <w:bCs/>
          <w:color w:val="auto"/>
          <w:sz w:val="31"/>
          <w:szCs w:val="31"/>
        </w:rPr>
        <w:t>第六条</w:t>
      </w:r>
      <w:r>
        <w:rPr>
          <w:rFonts w:hint="eastAsia" w:ascii="仿宋_GB2312" w:eastAsia="仿宋_GB2312"/>
          <w:color w:val="auto"/>
          <w:sz w:val="32"/>
          <w:szCs w:val="32"/>
        </w:rPr>
        <w:t xml:space="preserve"> </w:t>
      </w:r>
      <w:r>
        <w:rPr>
          <w:rFonts w:hint="eastAsia" w:ascii="仿宋_GB2312" w:hAnsi="华文仿宋" w:eastAsia="仿宋_GB2312"/>
          <w:color w:val="auto"/>
          <w:sz w:val="32"/>
          <w:szCs w:val="32"/>
        </w:rPr>
        <w:t>压实质量保障责任。明确责任主体、厘清责任权限，抓住教师、学生、教学环节、教学管理、教学建设、教学条件等影响质量的关键要素，多部门协同、多主体参与、校院联动，系统构建教学决策、教学运行、条件保障、质量监控、信息收集和质量改进的“六位一体”教学质量保障体系，增强教学质量保障的整体性、协同性，促进学校各方资源合理配置与高效利用。</w:t>
      </w:r>
    </w:p>
    <w:p>
      <w:pPr>
        <w:pStyle w:val="11"/>
        <w:shd w:val="clear" w:color="auto" w:fill="FFFFFF"/>
        <w:spacing w:before="0" w:beforeAutospacing="0" w:after="0" w:afterAutospacing="0" w:line="560" w:lineRule="exact"/>
        <w:ind w:firstLine="621" w:firstLineChars="200"/>
        <w:jc w:val="both"/>
        <w:rPr>
          <w:rFonts w:hint="eastAsia" w:ascii="仿宋" w:hAnsi="仿宋" w:eastAsia="仿宋"/>
          <w:b/>
          <w:bCs/>
          <w:color w:val="auto"/>
          <w:sz w:val="31"/>
          <w:szCs w:val="31"/>
        </w:rPr>
      </w:pPr>
      <w:r>
        <w:rPr>
          <w:rFonts w:hint="eastAsia" w:ascii="仿宋" w:hAnsi="仿宋" w:eastAsia="仿宋"/>
          <w:b/>
          <w:bCs/>
          <w:color w:val="auto"/>
          <w:sz w:val="31"/>
          <w:szCs w:val="31"/>
        </w:rPr>
        <w:t>第七条</w:t>
      </w:r>
      <w:r>
        <w:rPr>
          <w:rFonts w:hint="eastAsia" w:ascii="仿宋_GB2312" w:eastAsia="仿宋_GB2312"/>
          <w:color w:val="auto"/>
          <w:sz w:val="32"/>
          <w:szCs w:val="32"/>
        </w:rPr>
        <w:t xml:space="preserve"> 推动</w:t>
      </w:r>
      <w:r>
        <w:rPr>
          <w:rFonts w:hint="eastAsia" w:ascii="仿宋_GB2312" w:hAnsi="华文仿宋" w:eastAsia="仿宋_GB2312"/>
          <w:color w:val="auto"/>
          <w:sz w:val="32"/>
          <w:szCs w:val="32"/>
        </w:rPr>
        <w:t>质量文化建设。加强质量文化宣传，营造质量文化建设氛围，激发师生在质量文化建设中的能动性，将质量理念、质量意识、质量标准贯穿人才培养全过程，并内化为师生的共同价值追求和自觉行动，构建自觉、自省、自律、自查、自纠的“五自”质量文化。</w:t>
      </w:r>
    </w:p>
    <w:p>
      <w:pPr>
        <w:pStyle w:val="11"/>
        <w:shd w:val="clear" w:color="auto" w:fill="FFFFFF"/>
        <w:spacing w:before="0" w:beforeAutospacing="0" w:after="0" w:afterAutospacing="0" w:line="560" w:lineRule="exact"/>
        <w:jc w:val="center"/>
        <w:rPr>
          <w:rFonts w:hint="eastAsia" w:ascii="黑体" w:hAnsi="黑体" w:eastAsia="黑体"/>
          <w:color w:val="auto"/>
          <w:sz w:val="32"/>
          <w:szCs w:val="32"/>
        </w:rPr>
      </w:pPr>
      <w:r>
        <w:rPr>
          <w:rFonts w:hint="eastAsia" w:ascii="黑体" w:hAnsi="黑体" w:eastAsia="黑体"/>
          <w:color w:val="auto"/>
          <w:sz w:val="32"/>
          <w:szCs w:val="32"/>
        </w:rPr>
        <w:t>第三章  坚持教学中心地位</w:t>
      </w:r>
    </w:p>
    <w:p>
      <w:pPr>
        <w:pStyle w:val="11"/>
        <w:shd w:val="clear" w:color="auto" w:fill="FFFFFF"/>
        <w:spacing w:before="0" w:beforeAutospacing="0" w:after="0" w:afterAutospacing="0" w:line="560" w:lineRule="exact"/>
        <w:ind w:firstLine="621" w:firstLineChars="200"/>
        <w:jc w:val="both"/>
        <w:rPr>
          <w:rFonts w:hint="eastAsia" w:ascii="仿宋" w:hAnsi="仿宋" w:eastAsia="仿宋"/>
          <w:b/>
          <w:bCs/>
          <w:color w:val="auto"/>
          <w:sz w:val="31"/>
          <w:szCs w:val="31"/>
        </w:rPr>
      </w:pPr>
      <w:r>
        <w:rPr>
          <w:rFonts w:hint="eastAsia" w:ascii="仿宋" w:hAnsi="仿宋" w:eastAsia="仿宋"/>
          <w:b/>
          <w:bCs/>
          <w:color w:val="auto"/>
          <w:sz w:val="31"/>
          <w:szCs w:val="31"/>
        </w:rPr>
        <w:t>第八条</w:t>
      </w:r>
      <w:r>
        <w:rPr>
          <w:rFonts w:hint="eastAsia" w:ascii="仿宋_GB2312" w:eastAsia="仿宋_GB2312"/>
          <w:color w:val="auto"/>
          <w:sz w:val="32"/>
          <w:szCs w:val="32"/>
        </w:rPr>
        <w:t xml:space="preserve"> </w:t>
      </w:r>
      <w:r>
        <w:rPr>
          <w:rFonts w:hint="eastAsia" w:ascii="仿宋_GB2312" w:hAnsi="华文仿宋" w:eastAsia="仿宋_GB2312"/>
          <w:color w:val="auto"/>
          <w:sz w:val="32"/>
          <w:szCs w:val="32"/>
        </w:rPr>
        <w:t>坚持依法治校新常态。人才培养是高校的根本任务，教学工作是学校的中心工作。积极顺应依法治国、依法治校新常态，遵循</w:t>
      </w:r>
      <w:r>
        <w:rPr>
          <w:rFonts w:hint="default" w:ascii="仿宋_GB2312" w:hAnsi="华文仿宋" w:eastAsia="仿宋_GB2312"/>
          <w:color w:val="auto"/>
          <w:sz w:val="32"/>
          <w:szCs w:val="32"/>
        </w:rPr>
        <w:t>各项法律法规及</w:t>
      </w:r>
      <w:r>
        <w:rPr>
          <w:rFonts w:hint="eastAsia" w:ascii="仿宋_GB2312" w:hAnsi="华文仿宋" w:eastAsia="仿宋_GB2312"/>
          <w:color w:val="auto"/>
          <w:sz w:val="32"/>
          <w:szCs w:val="32"/>
        </w:rPr>
        <w:t>《邵阳学院章程》《邵阳学院学术委员会章程》《邵阳学院教学指导委员会章程》，充分发挥教学指导委员会的教学监督、指导、评估、反馈等职能。</w:t>
      </w:r>
    </w:p>
    <w:p>
      <w:pPr>
        <w:pStyle w:val="11"/>
        <w:shd w:val="clear" w:color="auto" w:fill="FFFFFF"/>
        <w:spacing w:before="0" w:beforeAutospacing="0" w:after="0" w:afterAutospacing="0" w:line="560" w:lineRule="exact"/>
        <w:ind w:firstLine="621" w:firstLineChars="200"/>
        <w:jc w:val="both"/>
        <w:rPr>
          <w:rFonts w:hint="eastAsia" w:ascii="仿宋" w:hAnsi="仿宋" w:eastAsia="仿宋"/>
          <w:b/>
          <w:bCs/>
          <w:color w:val="auto"/>
          <w:sz w:val="31"/>
          <w:szCs w:val="31"/>
        </w:rPr>
      </w:pPr>
      <w:r>
        <w:rPr>
          <w:rFonts w:hint="eastAsia" w:ascii="仿宋" w:hAnsi="仿宋" w:eastAsia="仿宋"/>
          <w:b/>
          <w:bCs/>
          <w:color w:val="auto"/>
          <w:sz w:val="31"/>
          <w:szCs w:val="31"/>
        </w:rPr>
        <w:t>第九条</w:t>
      </w:r>
      <w:r>
        <w:rPr>
          <w:rFonts w:hint="eastAsia" w:ascii="仿宋_GB2312" w:eastAsia="仿宋_GB2312"/>
          <w:color w:val="auto"/>
          <w:sz w:val="32"/>
          <w:szCs w:val="32"/>
        </w:rPr>
        <w:t xml:space="preserve"> </w:t>
      </w:r>
      <w:r>
        <w:rPr>
          <w:rFonts w:hint="eastAsia" w:ascii="仿宋_GB2312" w:hAnsi="华文仿宋" w:eastAsia="仿宋_GB2312"/>
          <w:color w:val="auto"/>
          <w:sz w:val="32"/>
          <w:szCs w:val="32"/>
        </w:rPr>
        <w:t>坚持教学工作会议制度。建立定期与不定期相结合、学校与学院相结合的教学工作会议制度，更新人才培养理念，确立人才培养新目标，制订本科教学工作的新思路和新举措，研究和解决本科教学工作中的新情况和新问题。学校每两年召开1次全员参与的全校本科教学工作会议，每月召开1次教育教学工作例会，学校党委会、校长办公会每学期至少召开1次本科教学专题会议，学院每学期至少召开1次全院本科教学工作会议。</w:t>
      </w:r>
    </w:p>
    <w:p>
      <w:pPr>
        <w:pStyle w:val="11"/>
        <w:shd w:val="clear" w:color="auto" w:fill="FFFFFF"/>
        <w:spacing w:before="0" w:beforeAutospacing="0" w:after="0" w:afterAutospacing="0" w:line="560" w:lineRule="exact"/>
        <w:ind w:firstLine="621" w:firstLineChars="200"/>
        <w:jc w:val="both"/>
        <w:rPr>
          <w:rFonts w:hint="eastAsia" w:ascii="仿宋" w:hAnsi="仿宋" w:eastAsia="仿宋"/>
          <w:b/>
          <w:bCs/>
          <w:color w:val="auto"/>
          <w:sz w:val="31"/>
          <w:szCs w:val="31"/>
        </w:rPr>
      </w:pPr>
      <w:r>
        <w:rPr>
          <w:rFonts w:hint="eastAsia" w:ascii="仿宋" w:hAnsi="仿宋" w:eastAsia="仿宋"/>
          <w:b/>
          <w:bCs/>
          <w:color w:val="auto"/>
          <w:sz w:val="31"/>
          <w:szCs w:val="31"/>
        </w:rPr>
        <w:t>第十条</w:t>
      </w:r>
      <w:r>
        <w:rPr>
          <w:rFonts w:hint="eastAsia" w:ascii="仿宋_GB2312" w:eastAsia="仿宋_GB2312"/>
          <w:color w:val="auto"/>
          <w:sz w:val="32"/>
          <w:szCs w:val="32"/>
        </w:rPr>
        <w:t xml:space="preserve"> </w:t>
      </w:r>
      <w:r>
        <w:rPr>
          <w:rFonts w:hint="eastAsia" w:ascii="仿宋_GB2312" w:hAnsi="华文仿宋" w:eastAsia="仿宋_GB2312"/>
          <w:color w:val="auto"/>
          <w:sz w:val="32"/>
          <w:szCs w:val="32"/>
        </w:rPr>
        <w:t>落实领导干部深入本科人才培养一线制度。学校领导、中层干部及管理人员都要参与开学开讲教学检查、考试巡考、毕业设计（论文）答辩、听课评课等，参与开学典礼、毕业典礼、学位授予仪式、学科体育竞赛、科学研究与创新性实验项目等，参与专业实习、教育实习、“三下乡”等校外社会实践活动，深入教学一线，积极了解和参与本科教学工作，及时发现和解决教学工作中存在的问题，推动课堂教学质量提升。</w:t>
      </w:r>
    </w:p>
    <w:p>
      <w:pPr>
        <w:pStyle w:val="11"/>
        <w:shd w:val="clear" w:color="auto" w:fill="FFFFFF"/>
        <w:spacing w:before="0" w:beforeAutospacing="0" w:after="0" w:afterAutospacing="0" w:line="560" w:lineRule="exact"/>
        <w:jc w:val="center"/>
        <w:rPr>
          <w:rFonts w:hint="eastAsia" w:ascii="黑体" w:hAnsi="黑体" w:eastAsia="黑体"/>
          <w:color w:val="auto"/>
          <w:sz w:val="32"/>
          <w:szCs w:val="32"/>
        </w:rPr>
      </w:pPr>
      <w:r>
        <w:rPr>
          <w:rFonts w:hint="eastAsia" w:ascii="黑体" w:hAnsi="黑体" w:eastAsia="黑体"/>
          <w:color w:val="auto"/>
          <w:sz w:val="32"/>
          <w:szCs w:val="32"/>
        </w:rPr>
        <w:t>第四章  建立健全质量标准</w:t>
      </w:r>
    </w:p>
    <w:p>
      <w:pPr>
        <w:pStyle w:val="11"/>
        <w:shd w:val="clear" w:color="auto" w:fill="FFFFFF"/>
        <w:spacing w:before="0" w:beforeAutospacing="0" w:after="0" w:afterAutospacing="0" w:line="560" w:lineRule="exact"/>
        <w:ind w:firstLine="621" w:firstLineChars="200"/>
        <w:jc w:val="both"/>
        <w:rPr>
          <w:rFonts w:hint="eastAsia" w:ascii="仿宋" w:hAnsi="仿宋" w:eastAsia="仿宋"/>
          <w:b/>
          <w:bCs/>
          <w:color w:val="auto"/>
          <w:sz w:val="31"/>
          <w:szCs w:val="31"/>
        </w:rPr>
      </w:pPr>
      <w:r>
        <w:rPr>
          <w:rFonts w:hint="eastAsia" w:ascii="仿宋" w:hAnsi="仿宋" w:eastAsia="仿宋"/>
          <w:b/>
          <w:bCs/>
          <w:color w:val="auto"/>
          <w:sz w:val="31"/>
          <w:szCs w:val="31"/>
        </w:rPr>
        <w:t>第十一条</w:t>
      </w:r>
      <w:r>
        <w:rPr>
          <w:rFonts w:hint="eastAsia" w:ascii="仿宋_GB2312" w:eastAsia="仿宋_GB2312"/>
          <w:color w:val="auto"/>
          <w:sz w:val="32"/>
          <w:szCs w:val="32"/>
        </w:rPr>
        <w:t xml:space="preserve"> </w:t>
      </w:r>
      <w:r>
        <w:rPr>
          <w:rFonts w:hint="eastAsia" w:ascii="仿宋_GB2312" w:hAnsi="华文仿宋" w:eastAsia="仿宋_GB2312"/>
          <w:color w:val="auto"/>
          <w:sz w:val="32"/>
          <w:szCs w:val="32"/>
        </w:rPr>
        <w:t>明晰人才培养质量标准。根据学校办学定位和人才培养总目标要求，确立专业培养目标，制定明确、公开、可衡量的学生毕业时所应达到的专业培养质量标准，支撑专业培养目标达成。根据专业培养质量标准中对知识、能力、素养等方面的具体要求，制定相关课程和主要实践性环节的教学目标，明确学生学习产出的质量标准或要求。</w:t>
      </w:r>
    </w:p>
    <w:p>
      <w:pPr>
        <w:pStyle w:val="11"/>
        <w:shd w:val="clear" w:color="auto" w:fill="FFFFFF"/>
        <w:spacing w:before="0" w:beforeAutospacing="0" w:after="0" w:afterAutospacing="0" w:line="560" w:lineRule="exact"/>
        <w:ind w:firstLine="621" w:firstLineChars="200"/>
        <w:jc w:val="both"/>
        <w:rPr>
          <w:rFonts w:hint="eastAsia" w:ascii="仿宋" w:hAnsi="仿宋" w:eastAsia="仿宋"/>
          <w:b/>
          <w:bCs/>
          <w:color w:val="auto"/>
          <w:sz w:val="31"/>
          <w:szCs w:val="31"/>
        </w:rPr>
      </w:pPr>
      <w:r>
        <w:rPr>
          <w:rFonts w:hint="eastAsia" w:ascii="仿宋" w:hAnsi="仿宋" w:eastAsia="仿宋"/>
          <w:b/>
          <w:bCs/>
          <w:color w:val="auto"/>
          <w:sz w:val="31"/>
          <w:szCs w:val="31"/>
        </w:rPr>
        <w:t>第十二条</w:t>
      </w:r>
      <w:r>
        <w:rPr>
          <w:rFonts w:hint="eastAsia" w:ascii="仿宋_GB2312" w:eastAsia="仿宋_GB2312"/>
          <w:color w:val="auto"/>
          <w:sz w:val="32"/>
          <w:szCs w:val="32"/>
        </w:rPr>
        <w:t xml:space="preserve"> </w:t>
      </w:r>
      <w:r>
        <w:rPr>
          <w:rFonts w:hint="eastAsia" w:ascii="仿宋_GB2312" w:hAnsi="华文仿宋" w:eastAsia="仿宋_GB2312"/>
          <w:color w:val="auto"/>
          <w:sz w:val="32"/>
          <w:szCs w:val="32"/>
        </w:rPr>
        <w:t>健全教学管理质量标准。进一步优化各项教学管理规章制度，不断完善涵盖专业人才培养方案制订、专业建设、课程建设、教材建设等方面和课堂教学、实践教学、课程设计、毕业设计（论文）、课程考核与形成性评价等主要教学环节，以及各项教学建设水平评估的工作要求和质量标准，使人才培养和教育教学活动全过程有标可依、有章可循。根据教育教学发展需要，及时做好规章制度的“废、改、立”，不断推进教育教学管理工作的精细化、规范化和科学化。</w:t>
      </w:r>
    </w:p>
    <w:p>
      <w:pPr>
        <w:pStyle w:val="11"/>
        <w:shd w:val="clear" w:color="auto" w:fill="FFFFFF"/>
        <w:spacing w:before="0" w:beforeAutospacing="0" w:after="0" w:afterAutospacing="0" w:line="560" w:lineRule="exact"/>
        <w:jc w:val="center"/>
        <w:rPr>
          <w:rFonts w:hint="eastAsia" w:ascii="黑体" w:hAnsi="黑体" w:eastAsia="黑体"/>
          <w:color w:val="auto"/>
          <w:sz w:val="32"/>
          <w:szCs w:val="32"/>
        </w:rPr>
      </w:pPr>
      <w:r>
        <w:rPr>
          <w:rFonts w:hint="eastAsia" w:ascii="黑体" w:hAnsi="黑体" w:eastAsia="黑体"/>
          <w:color w:val="auto"/>
          <w:sz w:val="32"/>
          <w:szCs w:val="32"/>
        </w:rPr>
        <w:t>第五章  巩固常态教学监控</w:t>
      </w:r>
    </w:p>
    <w:p>
      <w:pPr>
        <w:pStyle w:val="11"/>
        <w:shd w:val="clear" w:color="auto" w:fill="FFFFFF"/>
        <w:spacing w:before="0" w:beforeAutospacing="0" w:after="0" w:afterAutospacing="0" w:line="560" w:lineRule="exact"/>
        <w:ind w:firstLine="621" w:firstLineChars="200"/>
        <w:jc w:val="both"/>
        <w:rPr>
          <w:rFonts w:hint="eastAsia" w:ascii="仿宋" w:hAnsi="仿宋" w:eastAsia="仿宋"/>
          <w:b/>
          <w:bCs/>
          <w:color w:val="auto"/>
          <w:sz w:val="31"/>
          <w:szCs w:val="31"/>
        </w:rPr>
      </w:pPr>
      <w:r>
        <w:rPr>
          <w:rFonts w:hint="eastAsia" w:ascii="仿宋" w:hAnsi="仿宋" w:eastAsia="仿宋"/>
          <w:b/>
          <w:bCs/>
          <w:color w:val="auto"/>
          <w:sz w:val="31"/>
          <w:szCs w:val="31"/>
        </w:rPr>
        <w:t>第十三条</w:t>
      </w:r>
      <w:r>
        <w:rPr>
          <w:rFonts w:hint="eastAsia" w:ascii="仿宋_GB2312" w:eastAsia="仿宋_GB2312"/>
          <w:color w:val="auto"/>
          <w:sz w:val="32"/>
          <w:szCs w:val="32"/>
        </w:rPr>
        <w:t xml:space="preserve"> </w:t>
      </w:r>
      <w:r>
        <w:rPr>
          <w:rFonts w:hint="eastAsia" w:ascii="仿宋_GB2312" w:hAnsi="华文仿宋" w:eastAsia="仿宋_GB2312"/>
          <w:color w:val="auto"/>
          <w:sz w:val="32"/>
          <w:szCs w:val="32"/>
        </w:rPr>
        <w:t>坚持各类教学检查制度。采取学校检查和学院自查相结合、定期检查与经常检查相结合、专题汇报与经常汇报相结合、检查督促与参谋指导相结合的方法，每学期开展期初、期中、期末教学检查，适时开展专项检查，完善教学质量监控通报制度，推动改进落实。</w:t>
      </w:r>
    </w:p>
    <w:p>
      <w:pPr>
        <w:pStyle w:val="11"/>
        <w:shd w:val="clear" w:color="auto" w:fill="FFFFFF"/>
        <w:spacing w:before="0" w:beforeAutospacing="0" w:after="0" w:afterAutospacing="0" w:line="560" w:lineRule="exact"/>
        <w:ind w:firstLine="621" w:firstLineChars="200"/>
        <w:jc w:val="both"/>
        <w:rPr>
          <w:rFonts w:hint="eastAsia" w:ascii="仿宋" w:hAnsi="仿宋" w:eastAsia="仿宋"/>
          <w:b/>
          <w:bCs/>
          <w:color w:val="auto"/>
          <w:sz w:val="31"/>
          <w:szCs w:val="31"/>
        </w:rPr>
      </w:pPr>
      <w:r>
        <w:rPr>
          <w:rFonts w:hint="eastAsia" w:ascii="仿宋" w:hAnsi="仿宋" w:eastAsia="仿宋"/>
          <w:b/>
          <w:bCs/>
          <w:color w:val="auto"/>
          <w:sz w:val="31"/>
          <w:szCs w:val="31"/>
        </w:rPr>
        <w:t>第十四条</w:t>
      </w:r>
      <w:r>
        <w:rPr>
          <w:rFonts w:hint="eastAsia" w:ascii="仿宋_GB2312" w:eastAsia="仿宋_GB2312"/>
          <w:color w:val="auto"/>
          <w:sz w:val="32"/>
          <w:szCs w:val="32"/>
        </w:rPr>
        <w:t xml:space="preserve"> </w:t>
      </w:r>
      <w:r>
        <w:rPr>
          <w:rFonts w:hint="eastAsia" w:ascii="仿宋_GB2312" w:hAnsi="华文仿宋" w:eastAsia="仿宋_GB2312"/>
          <w:color w:val="auto"/>
          <w:sz w:val="32"/>
          <w:szCs w:val="32"/>
        </w:rPr>
        <w:t>建立校院两级督导机制。构建校、院两级齐抓共管的教学督导工作体系，压实督导责任，加强督导队伍交流与培训，强化“督”、“导”并重，推动督教、督学、督管三结合。</w:t>
      </w:r>
    </w:p>
    <w:p>
      <w:pPr>
        <w:pStyle w:val="11"/>
        <w:shd w:val="clear" w:color="auto" w:fill="FFFFFF"/>
        <w:spacing w:before="0" w:beforeAutospacing="0" w:after="0" w:afterAutospacing="0" w:line="560" w:lineRule="exact"/>
        <w:ind w:firstLine="621" w:firstLineChars="200"/>
        <w:jc w:val="both"/>
        <w:rPr>
          <w:rFonts w:hint="eastAsia" w:ascii="仿宋" w:hAnsi="仿宋" w:eastAsia="仿宋"/>
          <w:b/>
          <w:bCs/>
          <w:color w:val="auto"/>
          <w:sz w:val="31"/>
          <w:szCs w:val="31"/>
        </w:rPr>
      </w:pPr>
      <w:r>
        <w:rPr>
          <w:rFonts w:hint="eastAsia" w:ascii="仿宋" w:hAnsi="仿宋" w:eastAsia="仿宋"/>
          <w:b/>
          <w:bCs/>
          <w:color w:val="auto"/>
          <w:sz w:val="31"/>
          <w:szCs w:val="31"/>
        </w:rPr>
        <w:t>第十五条</w:t>
      </w:r>
      <w:r>
        <w:rPr>
          <w:rFonts w:hint="eastAsia" w:ascii="仿宋_GB2312" w:eastAsia="仿宋_GB2312"/>
          <w:color w:val="auto"/>
          <w:sz w:val="32"/>
          <w:szCs w:val="32"/>
        </w:rPr>
        <w:t xml:space="preserve"> </w:t>
      </w:r>
      <w:r>
        <w:rPr>
          <w:rFonts w:hint="eastAsia" w:ascii="仿宋_GB2312" w:hAnsi="华文仿宋" w:eastAsia="仿宋_GB2312"/>
          <w:color w:val="auto"/>
          <w:sz w:val="32"/>
          <w:szCs w:val="32"/>
        </w:rPr>
        <w:t>优化学生评教制度。不断完善评教指标体系，合理设置评教模式，注重评教态度正确引导，加强评教数据科学化处理，进一步提升评教结果的</w:t>
      </w:r>
      <w:r>
        <w:rPr>
          <w:rFonts w:hint="default" w:ascii="仿宋_GB2312" w:hAnsi="华文仿宋" w:eastAsia="仿宋_GB2312"/>
          <w:color w:val="auto"/>
          <w:sz w:val="32"/>
          <w:szCs w:val="32"/>
        </w:rPr>
        <w:t>科学性和</w:t>
      </w:r>
      <w:r>
        <w:rPr>
          <w:rFonts w:hint="eastAsia" w:ascii="仿宋_GB2312" w:hAnsi="华文仿宋" w:eastAsia="仿宋_GB2312"/>
          <w:color w:val="auto"/>
          <w:sz w:val="32"/>
          <w:szCs w:val="32"/>
        </w:rPr>
        <w:t>合理性。</w:t>
      </w:r>
    </w:p>
    <w:p>
      <w:pPr>
        <w:pStyle w:val="11"/>
        <w:shd w:val="clear" w:color="auto" w:fill="FFFFFF"/>
        <w:spacing w:before="0" w:beforeAutospacing="0" w:after="0" w:afterAutospacing="0" w:line="560" w:lineRule="exact"/>
        <w:ind w:firstLine="621" w:firstLineChars="200"/>
        <w:jc w:val="both"/>
        <w:rPr>
          <w:rFonts w:hint="eastAsia" w:ascii="仿宋" w:hAnsi="仿宋" w:eastAsia="仿宋"/>
          <w:b/>
          <w:bCs/>
          <w:color w:val="auto"/>
          <w:sz w:val="31"/>
          <w:szCs w:val="31"/>
        </w:rPr>
      </w:pPr>
      <w:r>
        <w:rPr>
          <w:rFonts w:hint="eastAsia" w:ascii="仿宋" w:hAnsi="仿宋" w:eastAsia="仿宋"/>
          <w:b/>
          <w:bCs/>
          <w:color w:val="auto"/>
          <w:sz w:val="31"/>
          <w:szCs w:val="31"/>
        </w:rPr>
        <w:t>第十六条</w:t>
      </w:r>
      <w:r>
        <w:rPr>
          <w:rFonts w:hint="eastAsia" w:ascii="仿宋_GB2312" w:eastAsia="仿宋_GB2312"/>
          <w:color w:val="auto"/>
          <w:sz w:val="32"/>
          <w:szCs w:val="32"/>
        </w:rPr>
        <w:t xml:space="preserve"> </w:t>
      </w:r>
      <w:r>
        <w:rPr>
          <w:rFonts w:hint="eastAsia" w:ascii="仿宋_GB2312" w:hAnsi="华文仿宋" w:eastAsia="仿宋_GB2312"/>
          <w:color w:val="auto"/>
          <w:sz w:val="32"/>
          <w:szCs w:val="32"/>
        </w:rPr>
        <w:t>完善教师教学考核评价。进一步优化课程教学质量考核实施办法，形成以学生评教、督导评价为主，以同行评教为辅的多元评价模式，促进评价内容更全面、评价结果应用更有效。</w:t>
      </w:r>
    </w:p>
    <w:p>
      <w:pPr>
        <w:pStyle w:val="11"/>
        <w:shd w:val="clear" w:color="auto" w:fill="FFFFFF"/>
        <w:spacing w:before="0" w:beforeAutospacing="0" w:after="0" w:afterAutospacing="0" w:line="560" w:lineRule="exact"/>
        <w:ind w:firstLine="621" w:firstLineChars="200"/>
        <w:jc w:val="both"/>
        <w:rPr>
          <w:rFonts w:hint="eastAsia" w:ascii="仿宋" w:hAnsi="仿宋" w:eastAsia="仿宋"/>
          <w:b/>
          <w:bCs/>
          <w:color w:val="auto"/>
          <w:sz w:val="31"/>
          <w:szCs w:val="31"/>
        </w:rPr>
      </w:pPr>
      <w:r>
        <w:rPr>
          <w:rFonts w:hint="eastAsia" w:ascii="仿宋" w:hAnsi="仿宋" w:eastAsia="仿宋"/>
          <w:b/>
          <w:bCs/>
          <w:color w:val="auto"/>
          <w:sz w:val="31"/>
          <w:szCs w:val="31"/>
        </w:rPr>
        <w:t>第十七条</w:t>
      </w:r>
      <w:r>
        <w:rPr>
          <w:rFonts w:hint="eastAsia" w:ascii="仿宋_GB2312" w:eastAsia="仿宋_GB2312"/>
          <w:color w:val="auto"/>
          <w:sz w:val="32"/>
          <w:szCs w:val="32"/>
        </w:rPr>
        <w:t xml:space="preserve"> </w:t>
      </w:r>
      <w:r>
        <w:rPr>
          <w:rFonts w:hint="eastAsia" w:ascii="仿宋_GB2312" w:hAnsi="华文仿宋" w:eastAsia="仿宋_GB2312"/>
          <w:color w:val="auto"/>
          <w:sz w:val="32"/>
          <w:szCs w:val="32"/>
        </w:rPr>
        <w:t>统筹教学状态数据采集。充分利用好教育部本科教学基本状态数据库平台，及时收集教学基本状态数据并开展深入分析和研究，全面了解全校教育教学基本状态，定期编制发布教学质量报告，加强监测数据利用。</w:t>
      </w:r>
    </w:p>
    <w:p>
      <w:pPr>
        <w:pStyle w:val="11"/>
        <w:shd w:val="clear" w:color="auto" w:fill="FFFFFF"/>
        <w:spacing w:before="0" w:beforeAutospacing="0" w:after="0" w:afterAutospacing="0" w:line="560" w:lineRule="exact"/>
        <w:ind w:firstLine="621" w:firstLineChars="200"/>
        <w:jc w:val="both"/>
        <w:rPr>
          <w:rFonts w:hint="eastAsia" w:ascii="仿宋" w:hAnsi="仿宋" w:eastAsia="仿宋"/>
          <w:b/>
          <w:bCs/>
          <w:color w:val="auto"/>
          <w:sz w:val="31"/>
          <w:szCs w:val="31"/>
        </w:rPr>
      </w:pPr>
      <w:r>
        <w:rPr>
          <w:rFonts w:hint="eastAsia" w:ascii="仿宋" w:hAnsi="仿宋" w:eastAsia="仿宋"/>
          <w:b/>
          <w:bCs/>
          <w:color w:val="auto"/>
          <w:sz w:val="31"/>
          <w:szCs w:val="31"/>
        </w:rPr>
        <w:t>第十八条</w:t>
      </w:r>
      <w:r>
        <w:rPr>
          <w:rFonts w:hint="eastAsia" w:ascii="仿宋_GB2312" w:eastAsia="仿宋_GB2312"/>
          <w:color w:val="auto"/>
          <w:sz w:val="32"/>
          <w:szCs w:val="32"/>
        </w:rPr>
        <w:t xml:space="preserve"> </w:t>
      </w:r>
      <w:r>
        <w:rPr>
          <w:rFonts w:hint="eastAsia" w:ascii="仿宋_GB2312" w:hAnsi="华文仿宋" w:eastAsia="仿宋_GB2312"/>
          <w:color w:val="auto"/>
          <w:sz w:val="32"/>
          <w:szCs w:val="32"/>
        </w:rPr>
        <w:t>强化培养质量跟踪调查。开展毕业生教育教学满意度、专业培养目标达成情况、就业质量、毕业五年后职业发展情况等方面的调研，分别从学生在校学习体验评价、用人单位评价、校友评价多个视角收集意见和建议，为学校修订人才培养方案、改进教学策略、加大教学投入、加强教学管理、提升服务水平提供依据。</w:t>
      </w:r>
    </w:p>
    <w:p>
      <w:pPr>
        <w:pStyle w:val="11"/>
        <w:shd w:val="clear" w:color="auto" w:fill="FFFFFF"/>
        <w:spacing w:before="0" w:beforeAutospacing="0" w:after="0" w:afterAutospacing="0" w:line="560" w:lineRule="exact"/>
        <w:jc w:val="center"/>
        <w:rPr>
          <w:rFonts w:hint="eastAsia" w:ascii="黑体" w:hAnsi="黑体" w:eastAsia="黑体"/>
          <w:color w:val="auto"/>
          <w:sz w:val="32"/>
          <w:szCs w:val="32"/>
        </w:rPr>
      </w:pPr>
      <w:r>
        <w:rPr>
          <w:rFonts w:hint="eastAsia" w:ascii="黑体" w:hAnsi="黑体" w:eastAsia="黑体"/>
          <w:color w:val="auto"/>
          <w:sz w:val="32"/>
          <w:szCs w:val="32"/>
        </w:rPr>
        <w:t>第六章  完善专项评估</w:t>
      </w:r>
    </w:p>
    <w:p>
      <w:pPr>
        <w:pStyle w:val="11"/>
        <w:shd w:val="clear" w:color="auto" w:fill="FFFFFF"/>
        <w:spacing w:before="0" w:beforeAutospacing="0" w:after="0" w:afterAutospacing="0" w:line="560" w:lineRule="exact"/>
        <w:ind w:firstLine="621" w:firstLineChars="200"/>
        <w:jc w:val="both"/>
        <w:rPr>
          <w:rFonts w:hint="eastAsia" w:ascii="仿宋" w:hAnsi="仿宋" w:eastAsia="仿宋"/>
          <w:b/>
          <w:bCs/>
          <w:color w:val="auto"/>
          <w:sz w:val="31"/>
          <w:szCs w:val="31"/>
        </w:rPr>
      </w:pPr>
      <w:r>
        <w:rPr>
          <w:rFonts w:hint="eastAsia" w:ascii="仿宋" w:hAnsi="仿宋" w:eastAsia="仿宋"/>
          <w:b/>
          <w:bCs/>
          <w:color w:val="auto"/>
          <w:sz w:val="31"/>
          <w:szCs w:val="31"/>
        </w:rPr>
        <w:t>第十九条</w:t>
      </w:r>
      <w:r>
        <w:rPr>
          <w:rFonts w:hint="eastAsia" w:ascii="仿宋_GB2312" w:eastAsia="仿宋_GB2312"/>
          <w:color w:val="auto"/>
          <w:sz w:val="32"/>
          <w:szCs w:val="32"/>
        </w:rPr>
        <w:t xml:space="preserve"> </w:t>
      </w:r>
      <w:r>
        <w:rPr>
          <w:rFonts w:hint="eastAsia" w:ascii="仿宋_GB2312" w:hAnsi="华文仿宋" w:eastAsia="仿宋_GB2312"/>
          <w:color w:val="auto"/>
          <w:sz w:val="32"/>
          <w:szCs w:val="32"/>
        </w:rPr>
        <w:t>开展专业评估。完善本科专业评估管理办法，对已有三届及以上毕业生的所有本科专业开展专业状态数据监测和评估，引导专业加强建设，追求一流培养质量，评估结果作为学校专业建设及动态调整的重要依据。</w:t>
      </w:r>
    </w:p>
    <w:p>
      <w:pPr>
        <w:pStyle w:val="11"/>
        <w:shd w:val="clear" w:color="auto" w:fill="FFFFFF"/>
        <w:spacing w:before="0" w:beforeAutospacing="0" w:after="0" w:afterAutospacing="0" w:line="560" w:lineRule="exact"/>
        <w:ind w:firstLine="621" w:firstLineChars="200"/>
        <w:jc w:val="both"/>
        <w:rPr>
          <w:rFonts w:hint="eastAsia" w:ascii="仿宋" w:hAnsi="仿宋" w:eastAsia="仿宋"/>
          <w:b/>
          <w:bCs/>
          <w:color w:val="auto"/>
          <w:sz w:val="31"/>
          <w:szCs w:val="31"/>
        </w:rPr>
      </w:pPr>
      <w:r>
        <w:rPr>
          <w:rFonts w:hint="eastAsia" w:ascii="仿宋" w:hAnsi="仿宋" w:eastAsia="仿宋"/>
          <w:b/>
          <w:bCs/>
          <w:color w:val="auto"/>
          <w:sz w:val="31"/>
          <w:szCs w:val="31"/>
        </w:rPr>
        <w:t>第二十条</w:t>
      </w:r>
      <w:r>
        <w:rPr>
          <w:rFonts w:hint="eastAsia" w:ascii="仿宋_GB2312" w:eastAsia="仿宋_GB2312"/>
          <w:color w:val="auto"/>
          <w:sz w:val="32"/>
          <w:szCs w:val="32"/>
        </w:rPr>
        <w:t xml:space="preserve"> </w:t>
      </w:r>
      <w:r>
        <w:rPr>
          <w:rFonts w:hint="eastAsia" w:ascii="仿宋_GB2312" w:hAnsi="华文仿宋" w:eastAsia="仿宋_GB2312"/>
          <w:color w:val="auto"/>
          <w:sz w:val="32"/>
          <w:szCs w:val="32"/>
        </w:rPr>
        <w:t>推进专业认证。以专业认证为抓手，继续深化本科教学改革，加强专业内涵建设，全力推进符合条件的工科类、师范类、医学类专业申请专业认证，积极鼓励参与国际认证。对其它专业，全面按照“OBE”教育理念开展教学基本建设，切实保证各专业建设水平和人才培养质量。</w:t>
      </w:r>
    </w:p>
    <w:p>
      <w:pPr>
        <w:pStyle w:val="11"/>
        <w:shd w:val="clear" w:color="auto" w:fill="FFFFFF"/>
        <w:spacing w:before="0" w:beforeAutospacing="0" w:after="0" w:afterAutospacing="0" w:line="560" w:lineRule="exact"/>
        <w:ind w:firstLine="621" w:firstLineChars="200"/>
        <w:jc w:val="both"/>
        <w:rPr>
          <w:rFonts w:hint="eastAsia" w:ascii="仿宋" w:hAnsi="仿宋" w:eastAsia="仿宋"/>
          <w:b/>
          <w:bCs/>
          <w:color w:val="auto"/>
          <w:sz w:val="31"/>
          <w:szCs w:val="31"/>
        </w:rPr>
      </w:pPr>
      <w:r>
        <w:rPr>
          <w:rFonts w:hint="eastAsia" w:ascii="仿宋" w:hAnsi="仿宋" w:eastAsia="仿宋"/>
          <w:b/>
          <w:bCs/>
          <w:color w:val="auto"/>
          <w:sz w:val="31"/>
          <w:szCs w:val="31"/>
        </w:rPr>
        <w:t>第二十一条</w:t>
      </w:r>
      <w:r>
        <w:rPr>
          <w:rFonts w:hint="eastAsia" w:ascii="仿宋_GB2312" w:eastAsia="仿宋_GB2312"/>
          <w:color w:val="auto"/>
          <w:sz w:val="32"/>
          <w:szCs w:val="32"/>
        </w:rPr>
        <w:t xml:space="preserve"> </w:t>
      </w:r>
      <w:r>
        <w:rPr>
          <w:rFonts w:hint="eastAsia" w:ascii="仿宋_GB2312" w:hAnsi="华文仿宋" w:eastAsia="仿宋_GB2312"/>
          <w:color w:val="auto"/>
          <w:sz w:val="32"/>
          <w:szCs w:val="32"/>
        </w:rPr>
        <w:t>实施课程评价。对全校在设课程，围绕课程目标、教学大纲与教学内容、教案设计与教学方法、课程考核与形成性评价、教学效果与达成评价等方面进行抽查评估。对各类专项建设课程，按照建设目标和任务组织验收评估。</w:t>
      </w:r>
    </w:p>
    <w:p>
      <w:pPr>
        <w:pStyle w:val="11"/>
        <w:shd w:val="clear" w:color="auto" w:fill="FFFFFF"/>
        <w:spacing w:before="0" w:beforeAutospacing="0" w:after="0" w:afterAutospacing="0" w:line="560" w:lineRule="exact"/>
        <w:ind w:firstLine="621" w:firstLineChars="200"/>
        <w:jc w:val="both"/>
        <w:rPr>
          <w:rFonts w:hint="eastAsia" w:ascii="仿宋" w:hAnsi="仿宋" w:eastAsia="仿宋"/>
          <w:b/>
          <w:bCs/>
          <w:color w:val="auto"/>
          <w:sz w:val="31"/>
          <w:szCs w:val="31"/>
        </w:rPr>
      </w:pPr>
      <w:r>
        <w:rPr>
          <w:rFonts w:hint="eastAsia" w:ascii="仿宋" w:hAnsi="仿宋" w:eastAsia="仿宋"/>
          <w:b/>
          <w:bCs/>
          <w:color w:val="auto"/>
          <w:sz w:val="31"/>
          <w:szCs w:val="31"/>
        </w:rPr>
        <w:t>第二十二条</w:t>
      </w:r>
      <w:r>
        <w:rPr>
          <w:rFonts w:hint="eastAsia" w:ascii="仿宋_GB2312" w:eastAsia="仿宋_GB2312"/>
          <w:color w:val="auto"/>
          <w:sz w:val="32"/>
          <w:szCs w:val="32"/>
        </w:rPr>
        <w:t xml:space="preserve"> </w:t>
      </w:r>
      <w:r>
        <w:rPr>
          <w:rFonts w:hint="eastAsia" w:ascii="仿宋_GB2312" w:hAnsi="华文仿宋" w:eastAsia="仿宋_GB2312"/>
          <w:color w:val="auto"/>
          <w:sz w:val="32"/>
          <w:szCs w:val="32"/>
        </w:rPr>
        <w:t>完善教学单位年度目标考核。围绕日常教学管理、教学质量、教学建设成果以及学生学习成效等方面，进一步完善对教学单位教学工作的考核及评价办法，将考核结果作为年度绩效分配的重要指标，推动各教学单位教育教学各项工作全面发展。</w:t>
      </w:r>
    </w:p>
    <w:p>
      <w:pPr>
        <w:pStyle w:val="11"/>
        <w:shd w:val="clear" w:color="auto" w:fill="FFFFFF"/>
        <w:spacing w:before="0" w:beforeAutospacing="0" w:after="0" w:afterAutospacing="0" w:line="560" w:lineRule="exact"/>
        <w:jc w:val="center"/>
        <w:rPr>
          <w:rFonts w:hint="eastAsia" w:ascii="黑体" w:hAnsi="黑体" w:eastAsia="黑体"/>
          <w:color w:val="auto"/>
          <w:sz w:val="32"/>
          <w:szCs w:val="32"/>
        </w:rPr>
      </w:pPr>
      <w:r>
        <w:rPr>
          <w:rFonts w:hint="eastAsia" w:ascii="黑体" w:hAnsi="黑体" w:eastAsia="黑体"/>
          <w:color w:val="auto"/>
          <w:sz w:val="32"/>
          <w:szCs w:val="32"/>
        </w:rPr>
        <w:t>第七章  优化激励约束机制</w:t>
      </w:r>
    </w:p>
    <w:p>
      <w:pPr>
        <w:pStyle w:val="11"/>
        <w:shd w:val="clear" w:color="auto" w:fill="FFFFFF"/>
        <w:spacing w:before="0" w:beforeAutospacing="0" w:after="0" w:afterAutospacing="0" w:line="560" w:lineRule="exact"/>
        <w:ind w:firstLine="621" w:firstLineChars="200"/>
        <w:jc w:val="both"/>
        <w:rPr>
          <w:rFonts w:hint="eastAsia" w:ascii="仿宋" w:hAnsi="仿宋" w:eastAsia="仿宋"/>
          <w:b/>
          <w:bCs/>
          <w:color w:val="auto"/>
          <w:sz w:val="31"/>
          <w:szCs w:val="31"/>
        </w:rPr>
      </w:pPr>
      <w:r>
        <w:rPr>
          <w:rFonts w:hint="eastAsia" w:ascii="仿宋" w:hAnsi="仿宋" w:eastAsia="仿宋"/>
          <w:b/>
          <w:bCs/>
          <w:color w:val="auto"/>
          <w:sz w:val="31"/>
          <w:szCs w:val="31"/>
        </w:rPr>
        <w:t>第二十三条</w:t>
      </w:r>
      <w:r>
        <w:rPr>
          <w:rFonts w:hint="eastAsia" w:ascii="仿宋_GB2312" w:eastAsia="仿宋_GB2312"/>
          <w:color w:val="auto"/>
          <w:sz w:val="32"/>
          <w:szCs w:val="32"/>
        </w:rPr>
        <w:t xml:space="preserve"> </w:t>
      </w:r>
      <w:r>
        <w:rPr>
          <w:rFonts w:hint="eastAsia" w:ascii="仿宋_GB2312" w:hAnsi="华文仿宋" w:eastAsia="仿宋_GB2312"/>
          <w:color w:val="auto"/>
          <w:sz w:val="32"/>
          <w:szCs w:val="32"/>
        </w:rPr>
        <w:t xml:space="preserve">优化本科教学激励机制。完善本科教学激励机制，完善学校绩效工资改革实施办法，出台本科教学奖励办法，建立健全教学成果奖、优秀教师奖、优秀教学质量奖、教学标兵等教学奖励制度，从不同角度激发广大教师参与本科教学的积极性和创造性，激励教师潜心育人，静心教书，为本科教学作出更多贡献。 </w:t>
      </w:r>
    </w:p>
    <w:p>
      <w:pPr>
        <w:pStyle w:val="11"/>
        <w:shd w:val="clear" w:color="auto" w:fill="FFFFFF"/>
        <w:spacing w:before="0" w:beforeAutospacing="0" w:after="0" w:afterAutospacing="0" w:line="560" w:lineRule="exact"/>
        <w:ind w:firstLine="621" w:firstLineChars="200"/>
        <w:jc w:val="both"/>
        <w:rPr>
          <w:rFonts w:hint="eastAsia" w:ascii="仿宋" w:hAnsi="仿宋" w:eastAsia="仿宋"/>
          <w:b/>
          <w:bCs/>
          <w:color w:val="auto"/>
          <w:sz w:val="31"/>
          <w:szCs w:val="31"/>
        </w:rPr>
      </w:pPr>
      <w:r>
        <w:rPr>
          <w:rFonts w:hint="eastAsia" w:ascii="仿宋" w:hAnsi="仿宋" w:eastAsia="仿宋"/>
          <w:b/>
          <w:bCs/>
          <w:color w:val="auto"/>
          <w:sz w:val="31"/>
          <w:szCs w:val="31"/>
        </w:rPr>
        <w:t>第二十四条</w:t>
      </w:r>
      <w:r>
        <w:rPr>
          <w:rFonts w:hint="eastAsia" w:ascii="仿宋_GB2312" w:eastAsia="仿宋_GB2312"/>
          <w:color w:val="auto"/>
          <w:sz w:val="32"/>
          <w:szCs w:val="32"/>
        </w:rPr>
        <w:t xml:space="preserve"> </w:t>
      </w:r>
      <w:r>
        <w:rPr>
          <w:rFonts w:hint="eastAsia" w:ascii="仿宋_GB2312" w:hAnsi="华文仿宋" w:eastAsia="仿宋_GB2312"/>
          <w:color w:val="auto"/>
          <w:sz w:val="32"/>
          <w:szCs w:val="32"/>
        </w:rPr>
        <w:t>健全本科教学约束机制。明确教师评聘岗位职责，严格执行《邵阳学院本科教学工作规范》《邵阳学院教职工受处分后工资待遇处理规定》《</w:t>
      </w:r>
      <w:r>
        <w:rPr>
          <w:rFonts w:hint="eastAsia" w:ascii="仿宋_GB2312" w:hAnsi="华文仿宋" w:eastAsia="仿宋_GB2312"/>
          <w:color w:val="auto"/>
          <w:sz w:val="32"/>
          <w:szCs w:val="32"/>
        </w:rPr>
        <w:fldChar w:fldCharType="begin"/>
      </w:r>
      <w:r>
        <w:rPr>
          <w:rFonts w:hint="eastAsia" w:ascii="仿宋_GB2312" w:hAnsi="华文仿宋" w:eastAsia="仿宋_GB2312"/>
          <w:color w:val="auto"/>
          <w:sz w:val="32"/>
          <w:szCs w:val="32"/>
        </w:rPr>
        <w:instrText xml:space="preserve"> HYPERLINK "http://www2.hnsyu.net/jxzljkc/glwj/xxwj/201705/t20170517_64115.htm" </w:instrText>
      </w:r>
      <w:r>
        <w:rPr>
          <w:rFonts w:hint="eastAsia" w:ascii="仿宋_GB2312" w:hAnsi="华文仿宋" w:eastAsia="仿宋_GB2312"/>
          <w:color w:val="auto"/>
          <w:sz w:val="32"/>
          <w:szCs w:val="32"/>
        </w:rPr>
        <w:fldChar w:fldCharType="separate"/>
      </w:r>
      <w:r>
        <w:rPr>
          <w:rFonts w:hint="eastAsia" w:ascii="仿宋_GB2312" w:hAnsi="华文仿宋" w:eastAsia="仿宋_GB2312"/>
          <w:color w:val="auto"/>
          <w:sz w:val="32"/>
          <w:szCs w:val="32"/>
        </w:rPr>
        <w:t>邵阳学院教学事故认定及处理条例</w:t>
      </w:r>
      <w:r>
        <w:rPr>
          <w:rFonts w:hint="eastAsia" w:ascii="仿宋_GB2312" w:hAnsi="华文仿宋" w:eastAsia="仿宋_GB2312"/>
          <w:color w:val="auto"/>
          <w:sz w:val="32"/>
          <w:szCs w:val="32"/>
        </w:rPr>
        <w:fldChar w:fldCharType="end"/>
      </w:r>
      <w:r>
        <w:rPr>
          <w:rFonts w:hint="eastAsia" w:ascii="仿宋_GB2312" w:hAnsi="华文仿宋" w:eastAsia="仿宋_GB2312"/>
          <w:color w:val="auto"/>
          <w:sz w:val="32"/>
          <w:szCs w:val="32"/>
        </w:rPr>
        <w:t xml:space="preserve">》，严格教学事故的认定与处理。落实教授上课制度，教授每学年必须独立主讲1门本科生理论课程，鼓励教授讲授低年级核心课程、参与学生科学研究与创新性实验项目等第二课堂活动。 </w:t>
      </w:r>
    </w:p>
    <w:p>
      <w:pPr>
        <w:pStyle w:val="11"/>
        <w:shd w:val="clear" w:color="auto" w:fill="FFFFFF"/>
        <w:spacing w:before="0" w:beforeAutospacing="0" w:after="0" w:afterAutospacing="0" w:line="560" w:lineRule="exact"/>
        <w:jc w:val="center"/>
        <w:rPr>
          <w:rFonts w:hint="eastAsia" w:ascii="黑体" w:hAnsi="黑体" w:eastAsia="黑体"/>
          <w:color w:val="auto"/>
          <w:sz w:val="32"/>
          <w:szCs w:val="32"/>
        </w:rPr>
      </w:pPr>
      <w:r>
        <w:rPr>
          <w:rFonts w:hint="eastAsia" w:ascii="黑体" w:hAnsi="黑体" w:eastAsia="黑体"/>
          <w:color w:val="auto"/>
          <w:sz w:val="32"/>
          <w:szCs w:val="32"/>
        </w:rPr>
        <w:t>第八章 加强二级学院质量保障</w:t>
      </w:r>
    </w:p>
    <w:p>
      <w:pPr>
        <w:pStyle w:val="11"/>
        <w:shd w:val="clear" w:color="auto" w:fill="FFFFFF"/>
        <w:spacing w:before="0" w:beforeAutospacing="0" w:after="0" w:afterAutospacing="0" w:line="560" w:lineRule="exact"/>
        <w:ind w:firstLine="621" w:firstLineChars="200"/>
        <w:jc w:val="both"/>
        <w:rPr>
          <w:rFonts w:hint="eastAsia" w:ascii="仿宋" w:hAnsi="仿宋" w:eastAsia="仿宋"/>
          <w:b/>
          <w:bCs/>
          <w:color w:val="auto"/>
          <w:sz w:val="31"/>
          <w:szCs w:val="31"/>
        </w:rPr>
      </w:pPr>
      <w:r>
        <w:rPr>
          <w:rFonts w:hint="eastAsia" w:ascii="仿宋" w:hAnsi="仿宋" w:eastAsia="仿宋"/>
          <w:b/>
          <w:bCs/>
          <w:color w:val="auto"/>
          <w:sz w:val="31"/>
          <w:szCs w:val="31"/>
        </w:rPr>
        <w:t>第二十五条</w:t>
      </w:r>
      <w:r>
        <w:rPr>
          <w:rFonts w:hint="eastAsia" w:ascii="仿宋_GB2312" w:eastAsia="仿宋_GB2312"/>
          <w:color w:val="auto"/>
          <w:sz w:val="32"/>
          <w:szCs w:val="32"/>
        </w:rPr>
        <w:t xml:space="preserve"> </w:t>
      </w:r>
      <w:r>
        <w:rPr>
          <w:rFonts w:hint="eastAsia" w:ascii="仿宋_GB2312" w:hAnsi="华文仿宋" w:eastAsia="仿宋_GB2312"/>
          <w:color w:val="auto"/>
          <w:sz w:val="32"/>
          <w:szCs w:val="32"/>
        </w:rPr>
        <w:t>发挥学院质量保障主体作用。坚持学校、学院两级质量保障协调行动、相辅相成和互为补充。推进质量保障工作重心下移，</w:t>
      </w:r>
      <w:r>
        <w:rPr>
          <w:rFonts w:hint="eastAsia" w:ascii="仿宋_GB2312" w:hAnsi="华文仿宋" w:eastAsia="仿宋_GB2312"/>
          <w:color w:val="auto"/>
          <w:sz w:val="32"/>
          <w:szCs w:val="32"/>
          <w:lang w:val="en-US" w:eastAsia="zh-CN"/>
        </w:rPr>
        <w:t>二级学院党政主要负责人是教学质量的第一责任人，</w:t>
      </w:r>
      <w:r>
        <w:rPr>
          <w:rFonts w:hint="eastAsia" w:ascii="仿宋_GB2312" w:hAnsi="华文仿宋" w:eastAsia="仿宋_GB2312"/>
          <w:color w:val="auto"/>
          <w:sz w:val="32"/>
          <w:szCs w:val="32"/>
        </w:rPr>
        <w:t>充分发挥学院教学指导分委员会的研究、咨询、指导和决策功能，增强教研室、实验室等基层教学组织的凝聚力和执行力，建立健全学院教学督导制度，加强学院一级的同行评议。</w:t>
      </w:r>
    </w:p>
    <w:p>
      <w:pPr>
        <w:pStyle w:val="11"/>
        <w:shd w:val="clear" w:color="auto" w:fill="FFFFFF"/>
        <w:spacing w:before="0" w:beforeAutospacing="0" w:after="0" w:afterAutospacing="0" w:line="560" w:lineRule="exact"/>
        <w:ind w:firstLine="621" w:firstLineChars="200"/>
        <w:jc w:val="both"/>
        <w:rPr>
          <w:rFonts w:hint="eastAsia" w:ascii="仿宋" w:hAnsi="仿宋" w:eastAsia="仿宋"/>
          <w:b/>
          <w:bCs/>
          <w:color w:val="auto"/>
          <w:sz w:val="31"/>
          <w:szCs w:val="31"/>
        </w:rPr>
      </w:pPr>
      <w:r>
        <w:rPr>
          <w:rFonts w:hint="eastAsia" w:ascii="仿宋" w:hAnsi="仿宋" w:eastAsia="仿宋"/>
          <w:b/>
          <w:bCs/>
          <w:color w:val="auto"/>
          <w:sz w:val="31"/>
          <w:szCs w:val="31"/>
        </w:rPr>
        <w:t>第二十六条</w:t>
      </w:r>
      <w:r>
        <w:rPr>
          <w:rFonts w:hint="eastAsia" w:ascii="仿宋_GB2312" w:eastAsia="仿宋_GB2312"/>
          <w:color w:val="auto"/>
          <w:sz w:val="32"/>
          <w:szCs w:val="32"/>
        </w:rPr>
        <w:t xml:space="preserve"> </w:t>
      </w:r>
      <w:r>
        <w:rPr>
          <w:rFonts w:hint="eastAsia" w:ascii="仿宋_GB2312" w:hAnsi="华文仿宋" w:eastAsia="仿宋_GB2312"/>
          <w:color w:val="auto"/>
          <w:sz w:val="32"/>
          <w:szCs w:val="32"/>
        </w:rPr>
        <w:t>开展学院教学工作评估。将学院教学建设、教学改革、教学管理等纳入学院教学工作评估指标体系，评估结果作为学院教学工作年度综合考核和经费投入、招生计划等教学资源分配的重要依据，推动学院形成自我约束、自我完善、自我发展的机制，不断提高学院教育教学质量和办学水平。</w:t>
      </w:r>
    </w:p>
    <w:p>
      <w:pPr>
        <w:pStyle w:val="11"/>
        <w:shd w:val="clear" w:color="auto" w:fill="FFFFFF"/>
        <w:spacing w:before="0" w:beforeAutospacing="0" w:after="0" w:afterAutospacing="0" w:line="560" w:lineRule="exact"/>
        <w:jc w:val="center"/>
        <w:rPr>
          <w:rFonts w:hint="eastAsia" w:ascii="黑体" w:hAnsi="黑体" w:eastAsia="黑体"/>
          <w:color w:val="auto"/>
          <w:sz w:val="32"/>
          <w:szCs w:val="32"/>
        </w:rPr>
      </w:pPr>
      <w:r>
        <w:rPr>
          <w:rFonts w:hint="eastAsia" w:ascii="黑体" w:hAnsi="黑体" w:eastAsia="黑体"/>
          <w:color w:val="auto"/>
          <w:sz w:val="32"/>
          <w:szCs w:val="32"/>
        </w:rPr>
        <w:t>第九章  加强教学信息反馈闭环</w:t>
      </w:r>
    </w:p>
    <w:p>
      <w:pPr>
        <w:pStyle w:val="11"/>
        <w:shd w:val="clear" w:color="auto" w:fill="FFFFFF"/>
        <w:spacing w:before="0" w:beforeAutospacing="0" w:after="0" w:afterAutospacing="0" w:line="520" w:lineRule="exact"/>
        <w:ind w:firstLine="621" w:firstLineChars="200"/>
        <w:rPr>
          <w:rFonts w:hint="eastAsia" w:ascii="仿宋" w:hAnsi="仿宋" w:eastAsia="仿宋"/>
          <w:b/>
          <w:bCs/>
          <w:color w:val="auto"/>
          <w:sz w:val="31"/>
          <w:szCs w:val="31"/>
        </w:rPr>
      </w:pPr>
      <w:r>
        <w:rPr>
          <w:rFonts w:hint="eastAsia" w:ascii="仿宋" w:hAnsi="仿宋" w:eastAsia="仿宋"/>
          <w:b/>
          <w:bCs/>
          <w:color w:val="auto"/>
          <w:sz w:val="31"/>
          <w:szCs w:val="31"/>
        </w:rPr>
        <w:t>第二十七条</w:t>
      </w:r>
      <w:r>
        <w:rPr>
          <w:rFonts w:hint="eastAsia" w:ascii="仿宋_GB2312" w:eastAsia="仿宋_GB2312"/>
          <w:color w:val="auto"/>
          <w:sz w:val="32"/>
          <w:szCs w:val="32"/>
        </w:rPr>
        <w:t xml:space="preserve"> </w:t>
      </w:r>
      <w:r>
        <w:rPr>
          <w:rFonts w:hint="eastAsia" w:ascii="仿宋_GB2312" w:hAnsi="华文仿宋" w:eastAsia="仿宋_GB2312"/>
          <w:color w:val="auto"/>
          <w:sz w:val="32"/>
          <w:szCs w:val="32"/>
        </w:rPr>
        <w:t>做好常规监测问题反馈及整改。对教学检查、教学督导、教学监测、评学评教、专项评估以及师生座谈会等相关工作中发现的问题进行定期通报，及时反馈至学校相关职能部门、教辅单位、学院和教师，并督促在规定期限内完成整改任务，推进持续改进。</w:t>
      </w:r>
    </w:p>
    <w:p>
      <w:pPr>
        <w:pStyle w:val="11"/>
        <w:shd w:val="clear" w:color="auto" w:fill="FFFFFF"/>
        <w:spacing w:before="0" w:beforeAutospacing="0" w:after="0" w:afterAutospacing="0" w:line="520" w:lineRule="exact"/>
        <w:ind w:firstLine="621" w:firstLineChars="200"/>
        <w:rPr>
          <w:rFonts w:hint="eastAsia" w:ascii="仿宋" w:hAnsi="仿宋" w:eastAsia="仿宋"/>
          <w:b/>
          <w:bCs/>
          <w:color w:val="auto"/>
          <w:sz w:val="31"/>
          <w:szCs w:val="31"/>
        </w:rPr>
      </w:pPr>
      <w:r>
        <w:rPr>
          <w:rFonts w:hint="eastAsia" w:ascii="仿宋" w:hAnsi="仿宋" w:eastAsia="仿宋"/>
          <w:b/>
          <w:bCs/>
          <w:color w:val="auto"/>
          <w:sz w:val="31"/>
          <w:szCs w:val="31"/>
        </w:rPr>
        <w:t>第二十八条</w:t>
      </w:r>
      <w:r>
        <w:rPr>
          <w:rFonts w:hint="eastAsia" w:ascii="仿宋_GB2312" w:eastAsia="仿宋_GB2312"/>
          <w:color w:val="auto"/>
          <w:sz w:val="32"/>
          <w:szCs w:val="32"/>
        </w:rPr>
        <w:t xml:space="preserve"> </w:t>
      </w:r>
      <w:r>
        <w:rPr>
          <w:rFonts w:hint="eastAsia" w:ascii="仿宋_GB2312" w:hAnsi="华文仿宋" w:eastAsia="仿宋_GB2312"/>
          <w:color w:val="auto"/>
          <w:sz w:val="32"/>
          <w:szCs w:val="32"/>
        </w:rPr>
        <w:t>做好培养质量达成评价及整改。遵循OBE理念，进一步完善培养目标达成评价、毕业要求达成评价及课程目标达成评价机制，规范评价方法与程序，聚焦目标达成，针对性地提出整改对策，实现持续改进。</w:t>
      </w:r>
    </w:p>
    <w:p>
      <w:pPr>
        <w:pStyle w:val="11"/>
        <w:shd w:val="clear" w:color="auto" w:fill="FFFFFF"/>
        <w:spacing w:before="0" w:beforeAutospacing="0" w:after="0" w:afterAutospacing="0" w:line="520" w:lineRule="exact"/>
        <w:ind w:firstLine="621" w:firstLineChars="200"/>
        <w:rPr>
          <w:rFonts w:hint="eastAsia" w:ascii="仿宋" w:hAnsi="仿宋" w:eastAsia="仿宋"/>
          <w:b/>
          <w:bCs/>
          <w:color w:val="auto"/>
          <w:sz w:val="31"/>
          <w:szCs w:val="31"/>
        </w:rPr>
      </w:pPr>
      <w:r>
        <w:rPr>
          <w:rFonts w:hint="eastAsia" w:ascii="仿宋" w:hAnsi="仿宋" w:eastAsia="仿宋"/>
          <w:b/>
          <w:bCs/>
          <w:color w:val="auto"/>
          <w:sz w:val="31"/>
          <w:szCs w:val="31"/>
        </w:rPr>
        <w:t>第二十九条</w:t>
      </w:r>
      <w:r>
        <w:rPr>
          <w:rFonts w:hint="eastAsia" w:ascii="仿宋_GB2312" w:eastAsia="仿宋_GB2312"/>
          <w:color w:val="auto"/>
          <w:sz w:val="32"/>
          <w:szCs w:val="32"/>
        </w:rPr>
        <w:t xml:space="preserve"> </w:t>
      </w:r>
      <w:r>
        <w:rPr>
          <w:rFonts w:hint="eastAsia" w:ascii="仿宋_GB2312" w:hAnsi="华文仿宋" w:eastAsia="仿宋_GB2312"/>
          <w:color w:val="auto"/>
          <w:sz w:val="32"/>
          <w:szCs w:val="32"/>
        </w:rPr>
        <w:t>做好社会评价信息反馈及整改。定期组织用人单位代表、校友代表、行业专家等召开专业教学质量座谈会，了解社会对本专业毕业生和教育教学质量的客观评价，根据反馈意见及时调整专业人才培养方案，适应社会发展需要。</w:t>
      </w:r>
    </w:p>
    <w:p>
      <w:pPr>
        <w:widowControl/>
        <w:spacing w:line="560" w:lineRule="exact"/>
        <w:jc w:val="center"/>
        <w:rPr>
          <w:rFonts w:hint="eastAsia" w:ascii="黑体" w:hAnsi="黑体" w:eastAsia="黑体"/>
          <w:color w:val="auto"/>
          <w:kern w:val="0"/>
          <w:sz w:val="32"/>
          <w:szCs w:val="32"/>
        </w:rPr>
      </w:pPr>
      <w:r>
        <w:rPr>
          <w:rFonts w:hint="eastAsia" w:ascii="黑体" w:hAnsi="黑体" w:eastAsia="黑体"/>
          <w:color w:val="auto"/>
          <w:kern w:val="0"/>
          <w:sz w:val="32"/>
          <w:szCs w:val="32"/>
        </w:rPr>
        <w:t>第十章  附 则</w:t>
      </w:r>
      <w:r>
        <w:rPr>
          <w:rFonts w:hint="eastAsia" w:ascii="仿宋" w:hAnsi="仿宋" w:eastAsia="仿宋"/>
          <w:b/>
          <w:bCs/>
          <w:color w:val="auto"/>
          <w:kern w:val="0"/>
          <w:sz w:val="31"/>
          <w:szCs w:val="31"/>
        </w:rPr>
        <w:t xml:space="preserve"> </w:t>
      </w:r>
    </w:p>
    <w:p>
      <w:pPr>
        <w:spacing w:line="560" w:lineRule="exact"/>
        <w:ind w:firstLine="621" w:firstLineChars="200"/>
        <w:rPr>
          <w:rFonts w:hint="eastAsia" w:ascii="仿宋" w:hAnsi="仿宋" w:eastAsia="仿宋"/>
          <w:b/>
          <w:bCs/>
          <w:color w:val="auto"/>
          <w:kern w:val="0"/>
          <w:sz w:val="31"/>
          <w:szCs w:val="31"/>
        </w:rPr>
      </w:pPr>
      <w:r>
        <w:rPr>
          <w:rFonts w:hint="eastAsia" w:ascii="仿宋" w:hAnsi="仿宋" w:eastAsia="仿宋"/>
          <w:b/>
          <w:bCs/>
          <w:color w:val="auto"/>
          <w:kern w:val="0"/>
          <w:sz w:val="31"/>
          <w:szCs w:val="31"/>
        </w:rPr>
        <w:t>第三十条</w:t>
      </w:r>
      <w:r>
        <w:rPr>
          <w:rFonts w:hint="eastAsia" w:ascii="仿宋_GB2312" w:hAnsi="SimSun" w:eastAsia="仿宋_GB2312"/>
          <w:color w:val="auto"/>
          <w:sz w:val="32"/>
          <w:szCs w:val="32"/>
        </w:rPr>
        <w:t xml:space="preserve"> 本实施意见由</w:t>
      </w:r>
      <w:r>
        <w:rPr>
          <w:rFonts w:hint="eastAsia" w:ascii="仿宋_GB2312" w:hAnsi="SimSun" w:eastAsia="仿宋_GB2312"/>
          <w:color w:val="auto"/>
          <w:kern w:val="0"/>
          <w:sz w:val="32"/>
          <w:szCs w:val="32"/>
        </w:rPr>
        <w:t>教务处</w:t>
      </w:r>
      <w:r>
        <w:rPr>
          <w:rFonts w:hint="eastAsia" w:ascii="仿宋_GB2312" w:hAnsi="SimSun" w:eastAsia="仿宋_GB2312"/>
          <w:color w:val="auto"/>
          <w:sz w:val="32"/>
          <w:szCs w:val="32"/>
        </w:rPr>
        <w:t>负责解释。</w:t>
      </w:r>
    </w:p>
    <w:p>
      <w:pPr>
        <w:spacing w:line="560" w:lineRule="exact"/>
        <w:ind w:firstLine="621" w:firstLineChars="200"/>
        <w:rPr>
          <w:rFonts w:hint="eastAsia" w:ascii="仿宋" w:hAnsi="仿宋" w:eastAsia="仿宋"/>
          <w:b/>
          <w:bCs/>
          <w:color w:val="auto"/>
          <w:kern w:val="0"/>
          <w:sz w:val="31"/>
          <w:szCs w:val="31"/>
        </w:rPr>
      </w:pPr>
      <w:r>
        <w:rPr>
          <w:rFonts w:hint="eastAsia" w:ascii="仿宋" w:hAnsi="仿宋" w:eastAsia="仿宋"/>
          <w:b/>
          <w:bCs/>
          <w:color w:val="auto"/>
          <w:kern w:val="0"/>
          <w:sz w:val="31"/>
          <w:szCs w:val="31"/>
        </w:rPr>
        <w:t>第三十一条</w:t>
      </w:r>
      <w:r>
        <w:rPr>
          <w:rFonts w:hint="eastAsia" w:ascii="仿宋_GB2312" w:hAnsi="SimSun" w:eastAsia="仿宋_GB2312"/>
          <w:color w:val="auto"/>
          <w:sz w:val="32"/>
          <w:szCs w:val="32"/>
        </w:rPr>
        <w:t xml:space="preserve"> 本实施意见自颁布之日起执行，原《邵阳学院关于加强教学质量保障体系的若干意见（邵院政字〔2019〕49号）同时废止。</w:t>
      </w:r>
    </w:p>
    <w:bookmarkEnd w:id="1"/>
    <w:p>
      <w:pPr>
        <w:spacing w:line="560" w:lineRule="exact"/>
        <w:jc w:val="both"/>
        <w:rPr>
          <w:rFonts w:hint="eastAsia" w:ascii="仿宋_GB2312" w:hAnsi="仿宋" w:eastAsia="仿宋_GB2312" w:cs="Times New Roman"/>
          <w:sz w:val="32"/>
          <w:szCs w:val="32"/>
        </w:rPr>
      </w:pPr>
    </w:p>
    <w:p>
      <w:pPr>
        <w:spacing w:line="560" w:lineRule="exact"/>
        <w:jc w:val="both"/>
        <w:rPr>
          <w:rFonts w:hint="eastAsia" w:ascii="仿宋_GB2312" w:hAnsi="仿宋_GB2312" w:eastAsia="仿宋_GB2312" w:cs="仿宋_GB2312"/>
          <w:sz w:val="32"/>
          <w:szCs w:val="32"/>
        </w:rPr>
      </w:pPr>
    </w:p>
    <w:p>
      <w:pPr>
        <w:spacing w:line="560" w:lineRule="exact"/>
        <w:jc w:val="both"/>
        <w:rPr>
          <w:rFonts w:hint="eastAsia" w:ascii="仿宋_GB2312" w:hAnsi="仿宋_GB2312" w:eastAsia="仿宋_GB2312" w:cs="仿宋_GB2312"/>
          <w:sz w:val="32"/>
          <w:szCs w:val="32"/>
        </w:rPr>
      </w:pPr>
    </w:p>
    <w:p>
      <w:pPr>
        <w:spacing w:line="560" w:lineRule="exact"/>
        <w:jc w:val="both"/>
        <w:rPr>
          <w:rFonts w:hint="eastAsia" w:ascii="仿宋_GB2312" w:hAnsi="仿宋_GB2312" w:eastAsia="仿宋_GB2312" w:cs="仿宋_GB2312"/>
          <w:sz w:val="32"/>
          <w:szCs w:val="32"/>
        </w:rPr>
      </w:pPr>
    </w:p>
    <w:p>
      <w:pPr>
        <w:pBdr>
          <w:top w:val="single" w:color="auto" w:sz="6" w:space="1"/>
          <w:bottom w:val="single" w:color="auto" w:sz="6" w:space="1"/>
        </w:pBdr>
        <w:adjustRightInd w:val="0"/>
        <w:spacing w:line="480" w:lineRule="exact"/>
      </w:pPr>
      <w:r>
        <w:rPr>
          <w:rFonts w:hint="eastAsia" w:ascii="仿宋_GB2312" w:hAnsi="SimSun" w:eastAsia="仿宋_GB2312"/>
          <w:sz w:val="32"/>
          <w:szCs w:val="32"/>
        </w:rPr>
        <w:t>邵阳学院</w:t>
      </w:r>
      <w:r>
        <w:rPr>
          <w:rFonts w:hint="eastAsia" w:ascii="仿宋_GB2312" w:hAnsi="SimSun" w:eastAsia="仿宋_GB2312" w:cs="仿宋_GB2312"/>
          <w:color w:val="000000"/>
          <w:sz w:val="32"/>
          <w:szCs w:val="32"/>
        </w:rPr>
        <w:t xml:space="preserve">办公室                </w:t>
      </w:r>
      <w:r>
        <w:rPr>
          <w:rFonts w:hint="eastAsia" w:ascii="仿宋_GB2312" w:hAnsi="SimSun" w:eastAsia="仿宋_GB2312" w:cs="仿宋_GB2312"/>
          <w:color w:val="000000"/>
          <w:sz w:val="32"/>
          <w:szCs w:val="32"/>
          <w:lang w:val="en-US" w:eastAsia="zh-CN"/>
        </w:rPr>
        <w:t xml:space="preserve">    </w:t>
      </w:r>
      <w:r>
        <w:rPr>
          <w:rFonts w:hint="eastAsia" w:ascii="仿宋_GB2312" w:hAnsi="SimSun" w:eastAsia="仿宋_GB2312" w:cs="仿宋_GB2312"/>
          <w:color w:val="000000"/>
          <w:sz w:val="32"/>
          <w:szCs w:val="32"/>
        </w:rPr>
        <w:t>202</w:t>
      </w:r>
      <w:r>
        <w:rPr>
          <w:rFonts w:hint="default" w:ascii="仿宋_GB2312" w:hAnsi="SimSun" w:eastAsia="仿宋_GB2312" w:cs="仿宋_GB2312"/>
          <w:color w:val="000000"/>
          <w:sz w:val="32"/>
          <w:szCs w:val="32"/>
        </w:rPr>
        <w:t>4</w:t>
      </w:r>
      <w:r>
        <w:rPr>
          <w:rFonts w:hint="eastAsia" w:ascii="仿宋_GB2312" w:hAnsi="SimSun" w:eastAsia="仿宋_GB2312" w:cs="仿宋_GB2312"/>
          <w:color w:val="000000"/>
          <w:sz w:val="32"/>
          <w:szCs w:val="32"/>
        </w:rPr>
        <w:t>年</w:t>
      </w:r>
      <w:r>
        <w:rPr>
          <w:rFonts w:hint="default" w:ascii="仿宋_GB2312" w:hAnsi="SimSun" w:eastAsia="仿宋_GB2312" w:cs="仿宋_GB2312"/>
          <w:color w:val="000000"/>
          <w:sz w:val="32"/>
          <w:szCs w:val="32"/>
        </w:rPr>
        <w:t>10</w:t>
      </w:r>
      <w:r>
        <w:rPr>
          <w:rFonts w:hint="eastAsia" w:ascii="仿宋_GB2312" w:hAnsi="SimSun" w:eastAsia="仿宋_GB2312" w:cs="仿宋_GB2312"/>
          <w:color w:val="000000"/>
          <w:sz w:val="32"/>
          <w:szCs w:val="32"/>
        </w:rPr>
        <w:t xml:space="preserve">月 </w:t>
      </w:r>
      <w:r>
        <w:rPr>
          <w:rFonts w:hint="default" w:ascii="仿宋_GB2312" w:hAnsi="SimSun" w:eastAsia="仿宋_GB2312" w:cs="仿宋_GB2312"/>
          <w:color w:val="000000"/>
          <w:sz w:val="32"/>
          <w:szCs w:val="32"/>
        </w:rPr>
        <w:t>15</w:t>
      </w:r>
      <w:r>
        <w:rPr>
          <w:rFonts w:hint="eastAsia" w:ascii="仿宋_GB2312" w:hAnsi="SimSun" w:eastAsia="仿宋_GB2312" w:cs="仿宋_GB2312"/>
          <w:color w:val="000000"/>
          <w:sz w:val="32"/>
          <w:szCs w:val="32"/>
        </w:rPr>
        <w:t>日印发</w:t>
      </w:r>
    </w:p>
    <w:sectPr>
      <w:headerReference r:id="rId3" w:type="default"/>
      <w:footerReference r:id="rId4" w:type="default"/>
      <w:pgSz w:w="11906" w:h="16838"/>
      <w:pgMar w:top="2098" w:right="1474" w:bottom="1984"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黑体">
    <w:altName w:val="汉仪中黑KW"/>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Wingdings">
    <w:altName w:val="Kingsoft Confetti"/>
    <w:panose1 w:val="05000000000000000000"/>
    <w:charset w:val="00"/>
    <w:family w:val="auto"/>
    <w:pitch w:val="default"/>
    <w:sig w:usb0="00000000" w:usb1="1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SimSun">
    <w:altName w:val="汉仪书宋二KW"/>
    <w:panose1 w:val="0201060003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新宋体">
    <w:altName w:val="汉仪书宋二KW"/>
    <w:panose1 w:val="02010609030101010101"/>
    <w:charset w:val="86"/>
    <w:family w:val="modern"/>
    <w:pitch w:val="default"/>
    <w:sig w:usb0="00000000" w:usb1="0000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方正小标宋简体"/>
    <w:panose1 w:val="03000509000000000000"/>
    <w:charset w:val="86"/>
    <w:family w:val="script"/>
    <w:pitch w:val="default"/>
    <w:sig w:usb0="00000000" w:usb1="00000000" w:usb2="0000000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___WRD_EMBED_SUB_41">
    <w:altName w:val="仿宋字体"/>
    <w:panose1 w:val="03000509000000000000"/>
    <w:charset w:val="00"/>
    <w:family w:val="modern"/>
    <w:pitch w:val="default"/>
    <w:sig w:usb0="00000000" w:usb1="00000000" w:usb2="00000000" w:usb3="00000000" w:csb0="00040001" w:csb1="00000000"/>
  </w:font>
  <w:font w:name="华文仿宋">
    <w:altName w:val="汉仪仿宋KW"/>
    <w:panose1 w:val="02010600040101010101"/>
    <w:charset w:val="86"/>
    <w:family w:val="auto"/>
    <w:pitch w:val="default"/>
    <w:sig w:usb0="00000000" w:usb1="00000000" w:usb2="00000000" w:usb3="00000000" w:csb0="0004009F" w:csb1="DFD70000"/>
  </w:font>
  <w:font w:name="汉仪仿宋KW">
    <w:panose1 w:val="00020600040101010101"/>
    <w:charset w:val="86"/>
    <w:family w:val="auto"/>
    <w:pitch w:val="default"/>
    <w:sig w:usb0="A00002BF" w:usb1="18EF7CFA" w:usb2="00000016" w:usb3="00000000" w:csb0="00040000" w:csb1="00000000"/>
  </w:font>
  <w:font w:name="仿宋字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rPr>
                              <w:rFonts w:hint="eastAsia" w:eastAsia="SimSun"/>
                              <w:lang w:eastAsia="zh-CN"/>
                            </w:rPr>
                          </w:pPr>
                          <w:r>
                            <w:rPr>
                              <w:rFonts w:hint="eastAsia" w:ascii="SimSun" w:hAnsi="SimSun" w:eastAsia="SimSun" w:cs="SimSun"/>
                              <w:sz w:val="28"/>
                              <w:szCs w:val="28"/>
                              <w:lang w:eastAsia="zh-CN"/>
                            </w:rPr>
                            <w:fldChar w:fldCharType="begin"/>
                          </w:r>
                          <w:r>
                            <w:rPr>
                              <w:rFonts w:hint="eastAsia" w:ascii="SimSun" w:hAnsi="SimSun" w:eastAsia="SimSun" w:cs="SimSun"/>
                              <w:sz w:val="28"/>
                              <w:szCs w:val="28"/>
                              <w:lang w:eastAsia="zh-CN"/>
                            </w:rPr>
                            <w:instrText xml:space="preserve"> PAGE  \* MERGEFORMAT </w:instrText>
                          </w:r>
                          <w:r>
                            <w:rPr>
                              <w:rFonts w:hint="eastAsia" w:ascii="SimSun" w:hAnsi="SimSun" w:eastAsia="SimSun" w:cs="SimSun"/>
                              <w:sz w:val="28"/>
                              <w:szCs w:val="28"/>
                              <w:lang w:eastAsia="zh-CN"/>
                            </w:rPr>
                            <w:fldChar w:fldCharType="separate"/>
                          </w:r>
                          <w:r>
                            <w:rPr>
                              <w:rFonts w:hint="eastAsia" w:ascii="SimSun" w:hAnsi="SimSun" w:eastAsia="SimSun" w:cs="SimSun"/>
                              <w:sz w:val="28"/>
                              <w:szCs w:val="28"/>
                              <w:lang w:eastAsia="zh-CN"/>
                            </w:rPr>
                            <w:t>1</w:t>
                          </w:r>
                          <w:r>
                            <w:rPr>
                              <w:rFonts w:hint="eastAsia" w:ascii="SimSun" w:hAnsi="SimSun" w:eastAsia="SimSun" w:cs="SimSun"/>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d1dzG4QEAALkDAAAOAAAA&#10;AAAAAAEAIAAAAB4BAABkcnMvZTJvRG9jLnhtbFBLBQYAAAAABgAGAFkBAABxBQAAAAA=&#10;">
              <v:fill on="f" focussize="0,0"/>
              <v:stroke on="f"/>
              <v:imagedata o:title=""/>
              <o:lock v:ext="edit" aspectratio="f"/>
              <v:textbox inset="0mm,0mm,0mm,0mm" style="mso-fit-shape-to-text:t;">
                <w:txbxContent>
                  <w:p>
                    <w:pPr>
                      <w:pStyle w:val="8"/>
                      <w:rPr>
                        <w:rFonts w:hint="eastAsia" w:eastAsia="SimSun"/>
                        <w:lang w:eastAsia="zh-CN"/>
                      </w:rPr>
                    </w:pPr>
                    <w:r>
                      <w:rPr>
                        <w:rFonts w:hint="eastAsia" w:ascii="SimSun" w:hAnsi="SimSun" w:eastAsia="SimSun" w:cs="SimSun"/>
                        <w:sz w:val="28"/>
                        <w:szCs w:val="28"/>
                        <w:lang w:eastAsia="zh-CN"/>
                      </w:rPr>
                      <w:fldChar w:fldCharType="begin"/>
                    </w:r>
                    <w:r>
                      <w:rPr>
                        <w:rFonts w:hint="eastAsia" w:ascii="SimSun" w:hAnsi="SimSun" w:eastAsia="SimSun" w:cs="SimSun"/>
                        <w:sz w:val="28"/>
                        <w:szCs w:val="28"/>
                        <w:lang w:eastAsia="zh-CN"/>
                      </w:rPr>
                      <w:instrText xml:space="preserve"> PAGE  \* MERGEFORMAT </w:instrText>
                    </w:r>
                    <w:r>
                      <w:rPr>
                        <w:rFonts w:hint="eastAsia" w:ascii="SimSun" w:hAnsi="SimSun" w:eastAsia="SimSun" w:cs="SimSun"/>
                        <w:sz w:val="28"/>
                        <w:szCs w:val="28"/>
                        <w:lang w:eastAsia="zh-CN"/>
                      </w:rPr>
                      <w:fldChar w:fldCharType="separate"/>
                    </w:r>
                    <w:r>
                      <w:rPr>
                        <w:rFonts w:hint="eastAsia" w:ascii="SimSun" w:hAnsi="SimSun" w:eastAsia="SimSun" w:cs="SimSun"/>
                        <w:sz w:val="28"/>
                        <w:szCs w:val="28"/>
                        <w:lang w:eastAsia="zh-CN"/>
                      </w:rPr>
                      <w:t>1</w:t>
                    </w:r>
                    <w:r>
                      <w:rPr>
                        <w:rFonts w:hint="eastAsia" w:ascii="SimSun" w:hAnsi="SimSun" w:eastAsia="SimSun" w:cs="SimSun"/>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hMzNlNWIzNDk1YzUxMDg5YmE1NTczYzBhODcxNTIifQ=="/>
    <w:docVar w:name="KGWebUrl" w:val="https://oa.hnsyu.net/weaver/weaver.file.FileDownloadForNews?uuid=0402f58a-4d71-4dff-82ae-a9f85c5c27fa&amp;fileid=527&amp;type=showMould&amp;isofficeview=0&amp;requestid=undefined&amp;authStr=undefined&amp;authSignatureStr=undefined&amp;f_weaver_belongto_userid=undefined&amp;isrequest=1&amp;download=1&amp;f_weaver_belongto_usertype=0"/>
  </w:docVars>
  <w:rsids>
    <w:rsidRoot w:val="3305586C"/>
    <w:rsid w:val="00022117"/>
    <w:rsid w:val="00081B23"/>
    <w:rsid w:val="00096662"/>
    <w:rsid w:val="000B0E5E"/>
    <w:rsid w:val="00110332"/>
    <w:rsid w:val="00121A46"/>
    <w:rsid w:val="00126791"/>
    <w:rsid w:val="001D550A"/>
    <w:rsid w:val="00207B8B"/>
    <w:rsid w:val="002275BC"/>
    <w:rsid w:val="003234FE"/>
    <w:rsid w:val="003439A4"/>
    <w:rsid w:val="003834F3"/>
    <w:rsid w:val="0039164A"/>
    <w:rsid w:val="00423B99"/>
    <w:rsid w:val="004308F4"/>
    <w:rsid w:val="004B1A92"/>
    <w:rsid w:val="004F0AC5"/>
    <w:rsid w:val="00525DBD"/>
    <w:rsid w:val="00617036"/>
    <w:rsid w:val="006635E5"/>
    <w:rsid w:val="006F22AF"/>
    <w:rsid w:val="00703255"/>
    <w:rsid w:val="00714082"/>
    <w:rsid w:val="007376B4"/>
    <w:rsid w:val="00765BB1"/>
    <w:rsid w:val="007B7879"/>
    <w:rsid w:val="00803B84"/>
    <w:rsid w:val="00845233"/>
    <w:rsid w:val="008E1F97"/>
    <w:rsid w:val="009341FB"/>
    <w:rsid w:val="00984067"/>
    <w:rsid w:val="00A65AA9"/>
    <w:rsid w:val="00A7201F"/>
    <w:rsid w:val="00AE556B"/>
    <w:rsid w:val="00AF1970"/>
    <w:rsid w:val="00B014E3"/>
    <w:rsid w:val="00B676AE"/>
    <w:rsid w:val="00B936A8"/>
    <w:rsid w:val="00BA61EB"/>
    <w:rsid w:val="00BC0923"/>
    <w:rsid w:val="00BE2290"/>
    <w:rsid w:val="00BF2265"/>
    <w:rsid w:val="00C41ED7"/>
    <w:rsid w:val="00C810DA"/>
    <w:rsid w:val="00CA038E"/>
    <w:rsid w:val="00CD21A9"/>
    <w:rsid w:val="00CD7369"/>
    <w:rsid w:val="00CF085B"/>
    <w:rsid w:val="00D66B74"/>
    <w:rsid w:val="00DB7FC9"/>
    <w:rsid w:val="00DC1D99"/>
    <w:rsid w:val="00DD0D0A"/>
    <w:rsid w:val="00DE6483"/>
    <w:rsid w:val="00E52E2A"/>
    <w:rsid w:val="00EB280F"/>
    <w:rsid w:val="00ED14C1"/>
    <w:rsid w:val="00ED3C9B"/>
    <w:rsid w:val="00EF3B8A"/>
    <w:rsid w:val="00F503F4"/>
    <w:rsid w:val="00F7087D"/>
    <w:rsid w:val="00FA188F"/>
    <w:rsid w:val="00FA3E52"/>
    <w:rsid w:val="02917BA6"/>
    <w:rsid w:val="03A1495B"/>
    <w:rsid w:val="04986FD3"/>
    <w:rsid w:val="04CE484D"/>
    <w:rsid w:val="06124EAE"/>
    <w:rsid w:val="06B26217"/>
    <w:rsid w:val="08401F80"/>
    <w:rsid w:val="0B7A6902"/>
    <w:rsid w:val="0D15587B"/>
    <w:rsid w:val="0E9E1232"/>
    <w:rsid w:val="0FD56387"/>
    <w:rsid w:val="0FE7488C"/>
    <w:rsid w:val="109D4A81"/>
    <w:rsid w:val="10CB5328"/>
    <w:rsid w:val="14595E5C"/>
    <w:rsid w:val="150B2C71"/>
    <w:rsid w:val="15720EE0"/>
    <w:rsid w:val="17EA5B76"/>
    <w:rsid w:val="185B1B96"/>
    <w:rsid w:val="19ED2BD4"/>
    <w:rsid w:val="1BBC6F17"/>
    <w:rsid w:val="1BCD52E9"/>
    <w:rsid w:val="1F7F3F52"/>
    <w:rsid w:val="1F8C6FE6"/>
    <w:rsid w:val="23386ADD"/>
    <w:rsid w:val="23BC14BC"/>
    <w:rsid w:val="27FD8163"/>
    <w:rsid w:val="285D0D2C"/>
    <w:rsid w:val="28AD0876"/>
    <w:rsid w:val="2A053731"/>
    <w:rsid w:val="2CC04391"/>
    <w:rsid w:val="2D755DB5"/>
    <w:rsid w:val="2E403618"/>
    <w:rsid w:val="3305586C"/>
    <w:rsid w:val="34AB2A52"/>
    <w:rsid w:val="35AC4523"/>
    <w:rsid w:val="387336F4"/>
    <w:rsid w:val="3A1C460B"/>
    <w:rsid w:val="3B0C6CAB"/>
    <w:rsid w:val="3FCE0D7C"/>
    <w:rsid w:val="3FFFA62D"/>
    <w:rsid w:val="403326AF"/>
    <w:rsid w:val="423E6763"/>
    <w:rsid w:val="4359650D"/>
    <w:rsid w:val="446E5E27"/>
    <w:rsid w:val="44DE52DF"/>
    <w:rsid w:val="45362C4E"/>
    <w:rsid w:val="465328DB"/>
    <w:rsid w:val="466730B2"/>
    <w:rsid w:val="46C5625C"/>
    <w:rsid w:val="474F0E6C"/>
    <w:rsid w:val="47E92645"/>
    <w:rsid w:val="4804364E"/>
    <w:rsid w:val="48E1622A"/>
    <w:rsid w:val="4C45617F"/>
    <w:rsid w:val="4E7303BA"/>
    <w:rsid w:val="50BE39E1"/>
    <w:rsid w:val="524A4F72"/>
    <w:rsid w:val="53F92548"/>
    <w:rsid w:val="55B93C1E"/>
    <w:rsid w:val="566F5FA4"/>
    <w:rsid w:val="56890E23"/>
    <w:rsid w:val="568E010E"/>
    <w:rsid w:val="56A763D2"/>
    <w:rsid w:val="587C0C3F"/>
    <w:rsid w:val="5A106F82"/>
    <w:rsid w:val="5B1E66D6"/>
    <w:rsid w:val="5B95728F"/>
    <w:rsid w:val="5EB7081D"/>
    <w:rsid w:val="5ECC08B9"/>
    <w:rsid w:val="5EF579E8"/>
    <w:rsid w:val="601B633A"/>
    <w:rsid w:val="605F3D69"/>
    <w:rsid w:val="60EE0200"/>
    <w:rsid w:val="6210478A"/>
    <w:rsid w:val="64CA1B74"/>
    <w:rsid w:val="686A27B6"/>
    <w:rsid w:val="6C2F5E64"/>
    <w:rsid w:val="6DE96197"/>
    <w:rsid w:val="6F3F12E6"/>
    <w:rsid w:val="704829A6"/>
    <w:rsid w:val="7128578D"/>
    <w:rsid w:val="71542301"/>
    <w:rsid w:val="73C85472"/>
    <w:rsid w:val="76BE2409"/>
    <w:rsid w:val="77493DD9"/>
    <w:rsid w:val="7908204A"/>
    <w:rsid w:val="7B3665D4"/>
    <w:rsid w:val="7BF246E4"/>
    <w:rsid w:val="7C464F3C"/>
    <w:rsid w:val="7E444284"/>
    <w:rsid w:val="7E733075"/>
    <w:rsid w:val="7EF334A7"/>
    <w:rsid w:val="7EFB8AF8"/>
    <w:rsid w:val="7FDFAA41"/>
    <w:rsid w:val="7FF7D565"/>
    <w:rsid w:val="8DE8D625"/>
    <w:rsid w:val="A6DEF6C6"/>
    <w:rsid w:val="CBFB81F8"/>
    <w:rsid w:val="D5ED076A"/>
    <w:rsid w:val="E3BBBFDA"/>
    <w:rsid w:val="FCB8BD97"/>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SimSun" w:cs="Times New Roman"/>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rFonts w:ascii="Times New Roman" w:hAnsi="Times New Roman" w:eastAsia="SimSun"/>
      <w:b/>
      <w:bCs/>
      <w:kern w:val="44"/>
      <w:sz w:val="44"/>
      <w:szCs w:val="44"/>
    </w:rPr>
  </w:style>
  <w:style w:type="paragraph" w:styleId="3">
    <w:name w:val="heading 2"/>
    <w:basedOn w:val="1"/>
    <w:next w:val="1"/>
    <w:link w:val="18"/>
    <w:semiHidden/>
    <w:unhideWhenUsed/>
    <w:qFormat/>
    <w:uiPriority w:val="9"/>
    <w:pPr>
      <w:keepNext/>
      <w:keepLines/>
      <w:spacing w:before="260" w:after="260" w:line="416" w:lineRule="auto"/>
      <w:outlineLvl w:val="1"/>
    </w:pPr>
    <w:rPr>
      <w:rFonts w:ascii="Arial" w:hAnsi="Arial" w:eastAsia="黑体"/>
      <w:b/>
      <w:bCs/>
      <w:kern w:val="0"/>
      <w:sz w:val="32"/>
      <w:szCs w:val="32"/>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3"/>
    <w:qFormat/>
    <w:uiPriority w:val="0"/>
    <w:rPr>
      <w:sz w:val="18"/>
      <w:szCs w:val="18"/>
    </w:rPr>
  </w:style>
  <w:style w:type="paragraph" w:styleId="7">
    <w:name w:val="Date"/>
    <w:basedOn w:val="1"/>
    <w:next w:val="1"/>
    <w:link w:val="14"/>
    <w:semiHidden/>
    <w:unhideWhenUsed/>
    <w:uiPriority w:val="99"/>
    <w:pPr>
      <w:ind w:left="100" w:leftChars="2500"/>
    </w:pPr>
  </w:style>
  <w:style w:type="paragraph" w:styleId="8">
    <w:name w:val="footer"/>
    <w:basedOn w:val="1"/>
    <w:link w:val="16"/>
    <w:qFormat/>
    <w:uiPriority w:val="0"/>
    <w:pPr>
      <w:tabs>
        <w:tab w:val="center" w:pos="4153"/>
        <w:tab w:val="right" w:pos="8306"/>
      </w:tabs>
      <w:snapToGrid w:val="0"/>
      <w:jc w:val="left"/>
    </w:pPr>
    <w:rPr>
      <w:sz w:val="18"/>
      <w:szCs w:val="18"/>
    </w:rPr>
  </w:style>
  <w:style w:type="paragraph" w:styleId="9">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styleId="10">
    <w:name w:val="Hyperlink"/>
    <w:qFormat/>
    <w:uiPriority w:val="0"/>
    <w:rPr>
      <w:rFonts w:ascii="Times New Roman" w:hAnsi="Times New Roman" w:eastAsia="SimSun" w:cs="Times New Roman"/>
      <w:color w:val="0000FF"/>
      <w:u w:val="single"/>
    </w:rPr>
  </w:style>
  <w:style w:type="paragraph" w:styleId="11">
    <w:name w:val="Normal (Web)"/>
    <w:basedOn w:val="1"/>
    <w:qFormat/>
    <w:uiPriority w:val="0"/>
    <w:pPr>
      <w:widowControl/>
      <w:spacing w:before="100" w:beforeAutospacing="1" w:after="100" w:afterAutospacing="1" w:line="360" w:lineRule="auto"/>
      <w:jc w:val="left"/>
    </w:pPr>
    <w:rPr>
      <w:rFonts w:ascii="SimSun" w:hAnsi="SimSun" w:eastAsia="SimSun" w:cs="SimSun"/>
      <w:color w:val="000000"/>
      <w:kern w:val="0"/>
      <w:sz w:val="18"/>
      <w:szCs w:val="18"/>
    </w:rPr>
  </w:style>
  <w:style w:type="character" w:styleId="12">
    <w:name w:val="page number"/>
    <w:basedOn w:val="4"/>
    <w:qFormat/>
    <w:uiPriority w:val="0"/>
    <w:rPr>
      <w:rFonts w:ascii="Times New Roman" w:hAnsi="Times New Roman" w:eastAsia="SimSun" w:cs="Times New Roman"/>
    </w:rPr>
  </w:style>
  <w:style w:type="character" w:customStyle="1" w:styleId="13">
    <w:name w:val="批注框文本 字符"/>
    <w:link w:val="6"/>
    <w:semiHidden/>
    <w:qFormat/>
    <w:uiPriority w:val="99"/>
    <w:rPr>
      <w:kern w:val="2"/>
      <w:sz w:val="18"/>
      <w:szCs w:val="18"/>
    </w:rPr>
  </w:style>
  <w:style w:type="character" w:customStyle="1" w:styleId="14">
    <w:name w:val="日期 字符"/>
    <w:link w:val="7"/>
    <w:semiHidden/>
    <w:qFormat/>
    <w:uiPriority w:val="99"/>
    <w:rPr>
      <w:kern w:val="2"/>
      <w:sz w:val="21"/>
      <w:szCs w:val="22"/>
    </w:rPr>
  </w:style>
  <w:style w:type="character" w:customStyle="1" w:styleId="15">
    <w:name w:val="页眉 字符"/>
    <w:link w:val="9"/>
    <w:semiHidden/>
    <w:qFormat/>
    <w:uiPriority w:val="99"/>
    <w:rPr>
      <w:kern w:val="2"/>
      <w:sz w:val="18"/>
      <w:szCs w:val="18"/>
    </w:rPr>
  </w:style>
  <w:style w:type="character" w:customStyle="1" w:styleId="16">
    <w:name w:val="页脚 字符"/>
    <w:link w:val="8"/>
    <w:semiHidden/>
    <w:qFormat/>
    <w:uiPriority w:val="99"/>
    <w:rPr>
      <w:kern w:val="2"/>
      <w:sz w:val="18"/>
      <w:szCs w:val="18"/>
    </w:rPr>
  </w:style>
  <w:style w:type="character" w:customStyle="1" w:styleId="17">
    <w:name w:val="标题 1 字符"/>
    <w:link w:val="2"/>
    <w:qFormat/>
    <w:uiPriority w:val="0"/>
    <w:rPr>
      <w:rFonts w:ascii="Times New Roman" w:hAnsi="Times New Roman" w:eastAsia="SimSun" w:cs="Times New Roman"/>
      <w:b/>
      <w:bCs/>
      <w:kern w:val="44"/>
      <w:sz w:val="44"/>
      <w:szCs w:val="44"/>
    </w:rPr>
  </w:style>
  <w:style w:type="character" w:customStyle="1" w:styleId="18">
    <w:name w:val="标题 2 字符"/>
    <w:link w:val="3"/>
    <w:qFormat/>
    <w:uiPriority w:val="0"/>
    <w:rPr>
      <w:rFonts w:ascii="Arial" w:hAnsi="Arial" w:eastAsia="黑体" w:cs="Times New Roman"/>
      <w:b/>
      <w:bCs/>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Zhuozhengsoft</Company>
  <Pages>9</Pages>
  <Words>3898</Words>
  <Characters>3927</Characters>
  <Lines>28</Lines>
  <Paragraphs>8</Paragraphs>
  <TotalTime>3</TotalTime>
  <ScaleCrop>false</ScaleCrop>
  <LinksUpToDate>false</LinksUpToDate>
  <CharactersWithSpaces>3982</CharactersWithSpaces>
  <Application>WPS Writer</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2024-08-17T12:34:00Z</dcterms:created>
  <dc:creator>Brent07_Lee【非实名勿加,李辉】</dc:creator>
  <cp:lastModifiedBy>Brent07_Lee【非实名勿加,李辉】</cp:lastModifiedBy>
  <cp:lastPrinted>2024-10-12T09:07:00Z</cp:lastPrinted>
  <dcterms:modified xsi:type="dcterms:W3CDTF">2024-10-15T10:18:44Z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1033-0.0.0.0</vt:lpwstr>
  </property>
  <property fmtid="{D5CDD505-2E9C-101B-9397-08002B2CF9AE}" pid="3" name="ICV">
    <vt:lpwstr>3B8EE5D867094818AAE32E357F91B12C_13</vt:lpwstr>
  </property>
</Properties>
</file>