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b/>
          <w:bCs/>
          <w:color w:val="FF0000"/>
          <w:spacing w:val="-20"/>
          <w:sz w:val="72"/>
          <w:szCs w:val="72"/>
        </w:rPr>
      </w:pPr>
      <w:r>
        <w:rPr>
          <w:rFonts w:hint="eastAsia" w:ascii="黑体" w:hAnsi="黑体" w:eastAsia="黑体" w:cs="方正小标宋简体"/>
          <w:b/>
          <w:bCs/>
          <w:color w:val="FF0000"/>
          <w:spacing w:val="-20"/>
          <w:sz w:val="72"/>
          <w:szCs w:val="72"/>
        </w:rPr>
        <w:t>邵阳学院教学质量监控通报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2022年第3期，总第334期</w:t>
      </w:r>
    </w:p>
    <w:p>
      <w:pPr>
        <w:adjustRightInd w:val="0"/>
        <w:snapToGrid w:val="0"/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46355</wp:posOffset>
                </wp:positionV>
                <wp:extent cx="5600700" cy="0"/>
                <wp:effectExtent l="0" t="28575" r="0" b="2857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66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6pt;margin-top:3.65pt;height:0pt;width:441pt;z-index:251659264;mso-width-relative:page;mso-height-relative:page;" filled="f" stroked="t" coordsize="21600,21600" o:gfxdata="UEsDBAoAAAAAAIdO4kAAAAAAAAAAAAAAAAAEAAAAZHJzL1BLAwQUAAAACACHTuJA2RtwCNIAAAAG&#10;AQAADwAAAGRycy9kb3ducmV2LnhtbE2OwU7DMBBE70j8g7VI3KjTVqVtiFO1Ubki0VLB0YmXJMJe&#10;R7Gbpn/PwgWOTzOaedlmdFYM2IfWk4LpJAGBVHnTUq3g7fj8sAIRoiajrSdUcMUAm/z2JtOp8Rd6&#10;xeEQa8EjFFKtoImxS6UMVYNOh4nvkDj79L3TkbGvpen1hcedlbMkeZROt8QPje6waLD6Opwdr8j3&#10;48mUxWnYLeqX4mO739lxr9T93TR5AhFxjH9l+NFndcjZqfRnMkFY5uWMmwqWcxAcr9Zr5vKXZZ7J&#10;//r5N1BLAwQUAAAACACHTuJAO4tjU/EBAAC+AwAADgAAAGRycy9lMm9Eb2MueG1srVNLjhMxEN0j&#10;cQfLe9KdSJNBrXRmkShsBog04QAVtzttje2ybCedXIILILGDFUv23IbhGJSdD8OwmQUbq+2qevXe&#10;q+rJzd5otpM+KLQ1Hw5KzqQV2Ci7qfmH1eLVa85CBNuARitrfpCB30xfvpj0rpIj7FA30jMCsaHq&#10;Xc27GF1VFEF00kAYoJOWgi16A5GuflM0HnpCN7oYleW46NE3zqOQIdDr/BjkJ0T/HEBsWyXkHMXW&#10;SBuPqF5qiCQpdMoFPs1s21aK+L5tg4xM15yUxnxSE/pep7OYTqDaeHCdEicK8BwKTzQZUJaaXqDm&#10;EIFtvfoHyijhMWAbBwJNcRSSHSEVw/KJN3cdOJm1kNXBXUwP/w9WvNstPVNNzUdkiQVDE3/49P3n&#10;xy+/fnym8+HbV0YRsql3oaLsmV36JFTs7Z27RXEfmMVZB3YjM93VwRHEMFUUf5WkS3DUbN2/xYZy&#10;YBsxe7ZvvUmQ5Abb59EcLqOR+8gEPV6Ny/K6JIriHCugOhc6H+IbiYalj5prZZNrUMHuNsREBKpz&#10;Snq2uFBa58lry3oCvx5eJWjjyIdIm3C/6k7zDKhVk9JTYfCb9Ux7tgPapsViTJyyToo8TvO4tc2x&#10;rbYnG5Lyo4drbA5Lf7aHxpr5nVYw7c3je67+89tN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G3AI0gAAAAYBAAAPAAAAAAAAAAEAIAAAACIAAABkcnMvZG93bnJldi54bWxQSwECFAAUAAAACACH&#10;TuJAO4tjU/EBAAC+AwAADgAAAAAAAAABACAAAAAhAQAAZHJzL2Uyb0RvYy54bWxQSwUGAAAAAAYA&#10;BgBZAQAAhAUAAAAA&#10;">
                <v:fill on="f" focussize="0,0"/>
                <v:stroke weight="4.5pt" color="#FF66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before="312" w:beforeLines="100" w:after="312" w:afterLines="100" w:line="520" w:lineRule="exact"/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2021年下学期教师课堂教学质量评价情况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学校教学督导团对2021年下学期课堂效果本学期任课教师进行随机听课评价，现将评价情况通报如下：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一、评价办法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1、随机听课：采取事前不通知，随机随堂听课方式进行听课评课，以保证评价的客观、公平、公正。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2、评价标准：以《邵阳学院课堂教学质量评价表（教师用）》做为评价准则，统一尺度。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3、复评：初评采用2～3人听课，初评结果优秀或中等及以下的，则进行复评，复评时4～5人听课，并请相关学院领导参加，以保证评价的客观、公正性。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二、基本情况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本学期共听课评课 592人次，其中90分及以上教师 65  人次，80～89分的教师516人次，70～79分的教师 11人次，新进教师、年轻教师要参评职称的教师重点听课。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三、好的方面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1、绝大多数教师爱岗敬业。课前准备充分，课件制作精良，精神饱满，老态自然，为人师表。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2、多数教师内容熟练，对教材取舍合理、重点、难点突出。讲解清晰、透彻。并能把握学科前沿。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部分教师教学技能强。表达清楚，语言清晰、逻辑严密、层次分明、衔接流畅、措施得当、语言生动、课堂活跃，学生们听课认真，收获满满。如何宜军（经济与管理学院）、尹长海、曹锋（法商学院），孙义刚（城乡建设学院）,危洪清、胡玮军（机械与能源工程学院）,谷浩峰、乐清莉（体育学院）,姚季冬、刘伯奇（马克思主义学院）,牛莉（信息工程学院）,杨雨佳（药学院），曾金花（文学院）,刘源、刘叶波（音乐舞蹈学院）等,深受学生好评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四、存在的问题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1、个别教师业务钻研不深，内容不熟，讲课不生动，照本宣科，课堂死气腾腾，听课乏味，效果欠佳。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2、少数教师不善于管理课堂，部分学生看手机、讲小话、睡觉、干其他事等情况，未做管理，一些教师因没有使用翻页笔，离不开讲台，后面的学生不认真听讲，也未做管理。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3、教学基础设施有待提高。如南楼部分教室电脑不兼容翻页慢，多数教室时钟不走，教师休息室办公桌桌面斑驳，抽屉损坏，梅子井教师休息室设施不全等。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五、建议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1、加强“传帮带”工作，对新入职教师由相应学院安排教学经验丰富，讲课效果好的老教师带教，尽快提高新入职教师的讲课水平。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2、改善教学条件，各校区教学设施近期全面清理，对坏的、老化的、缺失的设备及时修理、更换、补充。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附：2021年下</w:t>
      </w:r>
      <w:r>
        <w:rPr>
          <w:rFonts w:hint="eastAsia" w:ascii="仿宋_GB2312" w:eastAsia="仿宋_GB2312"/>
          <w:sz w:val="32"/>
          <w:szCs w:val="32"/>
        </w:rPr>
        <w:t>学期教师课堂教学质量评价汇总表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jc w:val="righ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邵阳学院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教学</w:t>
      </w:r>
      <w:r>
        <w:rPr>
          <w:rFonts w:hint="eastAsia" w:ascii="仿宋_GB2312" w:hAnsi="仿宋" w:eastAsia="仿宋_GB2312" w:cs="Times New Roman"/>
          <w:sz w:val="32"/>
          <w:szCs w:val="32"/>
        </w:rPr>
        <w:t>督导团</w:t>
      </w:r>
    </w:p>
    <w:p>
      <w:pPr>
        <w:widowControl/>
        <w:adjustRightInd w:val="0"/>
        <w:snapToGrid w:val="0"/>
        <w:spacing w:line="480" w:lineRule="exact"/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邵阳学院教务处</w:t>
      </w:r>
      <w:bookmarkStart w:id="0" w:name="_GoBack"/>
      <w:bookmarkEnd w:id="0"/>
    </w:p>
    <w:p>
      <w:pPr>
        <w:widowControl/>
        <w:adjustRightInd w:val="0"/>
        <w:snapToGrid w:val="0"/>
        <w:spacing w:line="4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2022年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2D10"/>
    <w:rsid w:val="00924526"/>
    <w:rsid w:val="00AB3B44"/>
    <w:rsid w:val="00DE4A4C"/>
    <w:rsid w:val="0DF623E7"/>
    <w:rsid w:val="0EBA176B"/>
    <w:rsid w:val="0F7B015C"/>
    <w:rsid w:val="10C6222A"/>
    <w:rsid w:val="12ED6114"/>
    <w:rsid w:val="15FA21F5"/>
    <w:rsid w:val="164E2C71"/>
    <w:rsid w:val="17837EE4"/>
    <w:rsid w:val="235F6C3E"/>
    <w:rsid w:val="286D1DAE"/>
    <w:rsid w:val="341F3884"/>
    <w:rsid w:val="3CE82B70"/>
    <w:rsid w:val="46792D10"/>
    <w:rsid w:val="46AE1C4F"/>
    <w:rsid w:val="485B59FB"/>
    <w:rsid w:val="5AA962FA"/>
    <w:rsid w:val="63592570"/>
    <w:rsid w:val="6EBC6615"/>
    <w:rsid w:val="7F7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874</Characters>
  <Lines>7</Lines>
  <Paragraphs>2</Paragraphs>
  <TotalTime>6</TotalTime>
  <ScaleCrop>false</ScaleCrop>
  <LinksUpToDate>false</LinksUpToDate>
  <CharactersWithSpaces>1025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2022-01-14T09:23:00Z</dcterms:created>
  <dc:creator>Administrator</dc:creator>
  <cp:lastModifiedBy>我爱多豆</cp:lastModifiedBy>
  <cp:lastPrinted>2022-02-24T02:00:00Z</cp:lastPrinted>
  <dcterms:modified xsi:type="dcterms:W3CDTF">2022-03-16T08:50:41Z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4EF10CCDE19D4816A5AA62FFE39013ED</vt:lpwstr>
  </property>
</Properties>
</file>